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3673" w14:textId="09AEA6C9" w:rsidR="00261661" w:rsidRPr="00233E52" w:rsidRDefault="00261661" w:rsidP="00D054FA">
      <w:pPr>
        <w:pStyle w:val="Series"/>
        <w:rPr>
          <w:color w:val="197C7D"/>
        </w:rPr>
      </w:pPr>
      <w:r w:rsidRPr="00233E52">
        <w:rPr>
          <w:color w:val="197C7D"/>
        </w:rPr>
        <w:t>Safeguard Mechanism reform consultation</w:t>
      </w:r>
      <w:r w:rsidR="00CB7455" w:rsidRPr="00233E52">
        <w:rPr>
          <w:color w:val="197C7D"/>
        </w:rPr>
        <w:t xml:space="preserve"> -</w:t>
      </w:r>
      <w:r w:rsidRPr="00233E52">
        <w:rPr>
          <w:color w:val="197C7D"/>
        </w:rPr>
        <w:t xml:space="preserve"> factsheet 3</w:t>
      </w:r>
    </w:p>
    <w:p w14:paraId="112DDAB2" w14:textId="77777777" w:rsidR="006050AE" w:rsidRDefault="006050AE" w:rsidP="006050AE">
      <w:pPr>
        <w:pStyle w:val="Series"/>
        <w:spacing w:before="40"/>
        <w:rPr>
          <w:color w:val="197C7D"/>
          <w:sz w:val="24"/>
          <w:szCs w:val="24"/>
        </w:rPr>
      </w:pPr>
      <w:r>
        <w:rPr>
          <w:color w:val="197C7D"/>
          <w:sz w:val="24"/>
          <w:szCs w:val="24"/>
        </w:rPr>
        <w:t>January 2023</w:t>
      </w:r>
    </w:p>
    <w:p w14:paraId="2EA0E56D" w14:textId="1AB00A03" w:rsidR="00EB7BAF" w:rsidRPr="00CB7455" w:rsidRDefault="00466D39" w:rsidP="00FB2C02">
      <w:pPr>
        <w:pStyle w:val="Heading2"/>
        <w:keepLines w:val="0"/>
        <w:spacing w:before="240" w:after="120" w:line="240" w:lineRule="auto"/>
        <w:ind w:left="720" w:hanging="720"/>
        <w:rPr>
          <w:rFonts w:ascii="Calibri" w:eastAsiaTheme="minorEastAsia" w:hAnsi="Calibri" w:cstheme="minorBidi"/>
          <w:b/>
          <w:bCs/>
          <w:color w:val="197C7D"/>
          <w:sz w:val="36"/>
          <w:szCs w:val="36"/>
          <w:lang w:eastAsia="ja-JP"/>
        </w:rPr>
      </w:pPr>
      <w:r w:rsidRPr="00CB7455">
        <w:rPr>
          <w:rFonts w:ascii="Calibri" w:eastAsiaTheme="minorEastAsia" w:hAnsi="Calibri" w:cstheme="minorBidi"/>
          <w:b/>
          <w:bCs/>
          <w:color w:val="197C7D"/>
          <w:sz w:val="36"/>
          <w:szCs w:val="36"/>
          <w:lang w:eastAsia="ja-JP"/>
        </w:rPr>
        <w:t xml:space="preserve">Baseline </w:t>
      </w:r>
      <w:r w:rsidRPr="00233E52">
        <w:rPr>
          <w:rFonts w:ascii="Calibri" w:eastAsiaTheme="minorEastAsia" w:hAnsi="Calibri" w:cstheme="minorBidi"/>
          <w:b/>
          <w:bCs/>
          <w:color w:val="197C7D"/>
          <w:sz w:val="36"/>
          <w:szCs w:val="36"/>
          <w:lang w:eastAsia="ja-JP"/>
        </w:rPr>
        <w:t>setting</w:t>
      </w:r>
      <w:r w:rsidR="003E27F5" w:rsidRPr="00233E52">
        <w:rPr>
          <w:rFonts w:ascii="Calibri" w:eastAsiaTheme="minorEastAsia" w:hAnsi="Calibri" w:cstheme="minorBidi"/>
          <w:b/>
          <w:bCs/>
          <w:color w:val="197C7D"/>
          <w:sz w:val="36"/>
          <w:szCs w:val="36"/>
          <w:lang w:eastAsia="ja-JP"/>
        </w:rPr>
        <w:t xml:space="preserve">: </w:t>
      </w:r>
      <w:r w:rsidRPr="00233E52">
        <w:rPr>
          <w:rFonts w:ascii="Calibri" w:eastAsiaTheme="minorEastAsia" w:hAnsi="Calibri" w:cstheme="minorBidi"/>
          <w:b/>
          <w:bCs/>
          <w:color w:val="197C7D"/>
          <w:sz w:val="36"/>
          <w:szCs w:val="36"/>
          <w:lang w:eastAsia="ja-JP"/>
        </w:rPr>
        <w:t>an illustrative</w:t>
      </w:r>
      <w:r w:rsidRPr="00CB7455">
        <w:rPr>
          <w:rFonts w:ascii="Calibri" w:eastAsiaTheme="minorEastAsia" w:hAnsi="Calibri" w:cstheme="minorBidi"/>
          <w:b/>
          <w:bCs/>
          <w:color w:val="197C7D"/>
          <w:sz w:val="36"/>
          <w:szCs w:val="36"/>
          <w:lang w:eastAsia="ja-JP"/>
        </w:rPr>
        <w:t xml:space="preserve"> </w:t>
      </w:r>
      <w:r w:rsidR="00540560" w:rsidRPr="00CB7455">
        <w:rPr>
          <w:rFonts w:ascii="Calibri" w:eastAsiaTheme="minorEastAsia" w:hAnsi="Calibri" w:cstheme="minorBidi"/>
          <w:b/>
          <w:bCs/>
          <w:color w:val="197C7D"/>
          <w:sz w:val="36"/>
          <w:szCs w:val="36"/>
          <w:lang w:eastAsia="ja-JP"/>
        </w:rPr>
        <w:t>example</w:t>
      </w:r>
      <w:r w:rsidR="00EB7BAF" w:rsidRPr="00CB7455">
        <w:rPr>
          <w:rFonts w:ascii="Calibri" w:eastAsiaTheme="minorEastAsia" w:hAnsi="Calibri" w:cstheme="minorBidi"/>
          <w:b/>
          <w:bCs/>
          <w:color w:val="197C7D"/>
          <w:sz w:val="36"/>
          <w:szCs w:val="36"/>
          <w:lang w:eastAsia="ja-JP"/>
        </w:rPr>
        <w:t xml:space="preserve"> </w:t>
      </w:r>
    </w:p>
    <w:p w14:paraId="132920DC" w14:textId="3AF5E825" w:rsidR="00261661" w:rsidRPr="00261661" w:rsidRDefault="0048131B" w:rsidP="00261661">
      <w:pPr>
        <w:rPr>
          <w:i/>
        </w:rPr>
      </w:pPr>
      <w:r w:rsidRPr="009E714B">
        <w:rPr>
          <w:i/>
        </w:rPr>
        <w:t xml:space="preserve">Emissions limits—or baselines—for individual facilities </w:t>
      </w:r>
      <w:r w:rsidR="00466D39" w:rsidRPr="009E714B">
        <w:rPr>
          <w:i/>
        </w:rPr>
        <w:t xml:space="preserve">will be set in a way that </w:t>
      </w:r>
      <w:r w:rsidR="00BF12BF">
        <w:rPr>
          <w:i/>
        </w:rPr>
        <w:t xml:space="preserve">enables </w:t>
      </w:r>
      <w:r w:rsidRPr="009E714B">
        <w:rPr>
          <w:i/>
        </w:rPr>
        <w:t>business grow</w:t>
      </w:r>
      <w:r w:rsidR="001A663C" w:rsidRPr="009E714B">
        <w:rPr>
          <w:i/>
        </w:rPr>
        <w:t>th even as</w:t>
      </w:r>
      <w:r w:rsidRPr="009E714B">
        <w:rPr>
          <w:i/>
        </w:rPr>
        <w:t xml:space="preserve"> </w:t>
      </w:r>
      <w:r w:rsidR="00466D39" w:rsidRPr="009E714B">
        <w:rPr>
          <w:i/>
        </w:rPr>
        <w:t>emissions fall, and introduces costs in manageable increments</w:t>
      </w:r>
      <w:r w:rsidR="003E27F5" w:rsidRPr="009E714B">
        <w:rPr>
          <w:i/>
        </w:rPr>
        <w:t>.</w:t>
      </w:r>
      <w:r w:rsidR="00D74910" w:rsidRPr="009E714B">
        <w:rPr>
          <w:i/>
        </w:rPr>
        <w:t xml:space="preserve"> A decline factor will apply</w:t>
      </w:r>
      <w:r w:rsidR="00466D39" w:rsidRPr="009E714B">
        <w:rPr>
          <w:i/>
        </w:rPr>
        <w:t xml:space="preserve"> to all baselines to ensure the Safeguard Mechanism delivers a proportional share of Australia’s national climate goals.</w:t>
      </w:r>
      <w:r w:rsidR="00261661" w:rsidRPr="00261661">
        <w:rPr>
          <w:i/>
        </w:rPr>
        <w:t xml:space="preserve"> </w:t>
      </w:r>
      <w:r w:rsidR="00BF12BF">
        <w:rPr>
          <w:i/>
        </w:rPr>
        <w:t>T</w:t>
      </w:r>
      <w:r w:rsidR="00261661" w:rsidRPr="00261661">
        <w:rPr>
          <w:i/>
        </w:rPr>
        <w:t>he government proposes that each facility’s baseline will fall by 4.9% each year to 2030</w:t>
      </w:r>
      <w:r w:rsidR="00BF12BF">
        <w:rPr>
          <w:i/>
        </w:rPr>
        <w:t xml:space="preserve"> (see factsheet 2)</w:t>
      </w:r>
      <w:r w:rsidR="00261661" w:rsidRPr="00261661">
        <w:rPr>
          <w:i/>
        </w:rPr>
        <w:t>.</w:t>
      </w:r>
    </w:p>
    <w:p w14:paraId="22AC1002" w14:textId="40482D9F" w:rsidR="003E27F5" w:rsidRPr="003E27F5" w:rsidRDefault="00540560" w:rsidP="00D36C98">
      <w:pPr>
        <w:pStyle w:val="Heading2"/>
        <w:keepLines w:val="0"/>
        <w:spacing w:before="240" w:after="120" w:line="240" w:lineRule="auto"/>
        <w:ind w:left="720" w:hanging="720"/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</w:pPr>
      <w:r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 xml:space="preserve">Baseline setting: </w:t>
      </w:r>
      <w:r w:rsidR="0048131B"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 xml:space="preserve">the </w:t>
      </w:r>
      <w:r w:rsidR="00EF03ED"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>basics</w:t>
      </w:r>
    </w:p>
    <w:p w14:paraId="750D00AD" w14:textId="06D7B959" w:rsidR="009A2E03" w:rsidRDefault="0048131B" w:rsidP="00540560">
      <w:pPr>
        <w:shd w:val="clear" w:color="auto" w:fill="FFFFFF" w:themeFill="background1"/>
        <w:spacing w:after="0" w:line="240" w:lineRule="auto"/>
      </w:pPr>
      <w:r>
        <w:t>Baselines will be set using a production</w:t>
      </w:r>
      <w:r>
        <w:noBreakHyphen/>
        <w:t xml:space="preserve">adjusted </w:t>
      </w:r>
      <w:r w:rsidR="00D74910">
        <w:t xml:space="preserve">(emissions-intensity) framework. This means </w:t>
      </w:r>
      <w:r>
        <w:t>base</w:t>
      </w:r>
      <w:r w:rsidR="000526D8">
        <w:t>lines will rise and fall with production</w:t>
      </w:r>
      <w:r w:rsidR="00D74910">
        <w:t>, helping to decouple emissions and economic growth</w:t>
      </w:r>
      <w:r>
        <w:t>. In a simplified</w:t>
      </w:r>
      <w:r w:rsidR="009A2E03">
        <w:t xml:space="preserve"> form</w:t>
      </w:r>
      <w:r w:rsidR="00BF12BF">
        <w:t>,</w:t>
      </w:r>
      <w:r w:rsidR="009A2E03">
        <w:t xml:space="preserve"> the baseline setting formula is</w:t>
      </w:r>
      <w:r w:rsidR="001E6835">
        <w:t xml:space="preserve"> the sum of production </w:t>
      </w:r>
      <w:r w:rsidR="00BF12BF">
        <w:t>multiplied by</w:t>
      </w:r>
      <w:r w:rsidR="001E6835">
        <w:t xml:space="preserve"> emissions intensity for all relevant outputs at the facility</w:t>
      </w:r>
      <w:r w:rsidR="009A2E03">
        <w:t>:</w:t>
      </w:r>
    </w:p>
    <w:p w14:paraId="6AE8C0D5" w14:textId="56A96E5F" w:rsidR="00F60563" w:rsidRPr="009A2E03" w:rsidRDefault="009A2E03" w:rsidP="009A2E03">
      <w:pPr>
        <w:shd w:val="clear" w:color="auto" w:fill="FFFFFF" w:themeFill="background1"/>
        <w:tabs>
          <w:tab w:val="center" w:pos="4536"/>
          <w:tab w:val="right" w:pos="9026"/>
        </w:tabs>
        <w:spacing w:before="160" w:line="240" w:lineRule="auto"/>
        <w:rPr>
          <w:b/>
        </w:rPr>
      </w:pPr>
      <w:r>
        <w:rPr>
          <w:b/>
        </w:rPr>
        <w:tab/>
      </w:r>
      <w:r w:rsidR="009E714B">
        <w:rPr>
          <w:b/>
        </w:rPr>
        <w:t xml:space="preserve">Facility baseline = </w:t>
      </w:r>
      <w:r w:rsidR="001E6835" w:rsidRPr="0061270C">
        <w:rPr>
          <w:b/>
          <w:color w:val="192F49"/>
          <w:sz w:val="32"/>
        </w:rPr>
        <w:t>Ʃ</w:t>
      </w:r>
      <w:r w:rsidR="001E6835">
        <w:rPr>
          <w:b/>
        </w:rPr>
        <w:t xml:space="preserve"> </w:t>
      </w:r>
      <w:r w:rsidR="009E714B">
        <w:rPr>
          <w:b/>
        </w:rPr>
        <w:t>pr</w:t>
      </w:r>
      <w:r w:rsidRPr="009A2E03">
        <w:rPr>
          <w:b/>
        </w:rPr>
        <w:t>oduction x emissions intensity</w:t>
      </w:r>
      <w:r>
        <w:rPr>
          <w:b/>
        </w:rPr>
        <w:tab/>
        <w:t>(1)</w:t>
      </w:r>
    </w:p>
    <w:p w14:paraId="1550A15D" w14:textId="78A1BC38" w:rsidR="009A2E03" w:rsidRDefault="00065BE8" w:rsidP="009A2E03">
      <w:pPr>
        <w:shd w:val="clear" w:color="auto" w:fill="FFFFFF" w:themeFill="background1"/>
        <w:spacing w:after="140" w:line="240" w:lineRule="auto"/>
      </w:pPr>
      <w:r>
        <w:t>f</w:t>
      </w:r>
      <w:r w:rsidR="009A2E03">
        <w:t xml:space="preserve">or all relevant outputs, where: </w:t>
      </w:r>
    </w:p>
    <w:p w14:paraId="0AA95B96" w14:textId="1CEE4002" w:rsidR="009A2E03" w:rsidRDefault="009A2E03" w:rsidP="009A2E03">
      <w:pPr>
        <w:pStyle w:val="ListParagraph"/>
        <w:numPr>
          <w:ilvl w:val="0"/>
          <w:numId w:val="12"/>
        </w:numPr>
        <w:shd w:val="clear" w:color="auto" w:fill="FFFFFF" w:themeFill="background1"/>
        <w:spacing w:after="140" w:line="240" w:lineRule="auto"/>
        <w:ind w:left="426" w:hanging="284"/>
        <w:contextualSpacing w:val="0"/>
      </w:pPr>
      <w:r w:rsidRPr="009A2E03">
        <w:rPr>
          <w:b/>
        </w:rPr>
        <w:t xml:space="preserve">production </w:t>
      </w:r>
      <w:r w:rsidR="0048131B">
        <w:t>is the quantity of</w:t>
      </w:r>
      <w:r w:rsidRPr="009A2E03">
        <w:t xml:space="preserve"> the product or service being delivered, for example tonnes of alumina or passenger kilometres</w:t>
      </w:r>
    </w:p>
    <w:p w14:paraId="25FD6AE4" w14:textId="4837AC33" w:rsidR="009A2E03" w:rsidRDefault="009A2E03" w:rsidP="009A2E03">
      <w:pPr>
        <w:pStyle w:val="ListParagraph"/>
        <w:numPr>
          <w:ilvl w:val="0"/>
          <w:numId w:val="12"/>
        </w:numPr>
        <w:shd w:val="clear" w:color="auto" w:fill="FFFFFF" w:themeFill="background1"/>
        <w:spacing w:after="140" w:line="240" w:lineRule="auto"/>
        <w:ind w:left="426" w:hanging="284"/>
        <w:contextualSpacing w:val="0"/>
      </w:pPr>
      <w:r w:rsidRPr="009A2E03">
        <w:rPr>
          <w:b/>
        </w:rPr>
        <w:t xml:space="preserve">emissions-intensity </w:t>
      </w:r>
      <w:r>
        <w:t>is the emissions per unit of production, for example, emissions per tonne of alumina or emissions per passenger kilometre</w:t>
      </w:r>
      <w:r w:rsidR="00F544CD">
        <w:t>.</w:t>
      </w:r>
    </w:p>
    <w:p w14:paraId="31F56C33" w14:textId="1ECF1A97" w:rsidR="00466D39" w:rsidRPr="003E27F5" w:rsidRDefault="00EF03ED" w:rsidP="00466D39">
      <w:pPr>
        <w:pStyle w:val="Heading2"/>
        <w:keepLines w:val="0"/>
        <w:spacing w:before="240" w:after="120" w:line="240" w:lineRule="auto"/>
        <w:ind w:left="720" w:hanging="720"/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</w:pPr>
      <w:r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>What</w:t>
      </w:r>
      <w:r w:rsidR="00100B0F"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 xml:space="preserve"> emissions-intensity value will be used</w:t>
      </w:r>
      <w:r w:rsidR="00466D39"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>?</w:t>
      </w:r>
    </w:p>
    <w:p w14:paraId="10526C73" w14:textId="7B1A5ACC" w:rsidR="00BF12BF" w:rsidRDefault="00EF03ED" w:rsidP="00100B0F">
      <w:pPr>
        <w:keepNext/>
        <w:keepLines/>
        <w:shd w:val="clear" w:color="auto" w:fill="FFFFFF" w:themeFill="background1"/>
        <w:spacing w:line="240" w:lineRule="auto"/>
      </w:pPr>
      <w:r>
        <w:t>The</w:t>
      </w:r>
      <w:r w:rsidR="00100B0F">
        <w:t xml:space="preserve"> emissions-intensity value </w:t>
      </w:r>
      <w:r>
        <w:t>will</w:t>
      </w:r>
      <w:r w:rsidR="00100B0F">
        <w:t xml:space="preserve"> </w:t>
      </w:r>
      <w:r w:rsidR="0048131B">
        <w:t xml:space="preserve">combine industry average performance with the performance of </w:t>
      </w:r>
      <w:r w:rsidR="003973AF">
        <w:t>each facility</w:t>
      </w:r>
      <w:r w:rsidR="00100B0F">
        <w:t xml:space="preserve">. This means baselines will start close to </w:t>
      </w:r>
      <w:r w:rsidR="00065BE8">
        <w:t xml:space="preserve">each facility’s </w:t>
      </w:r>
      <w:r w:rsidR="00100B0F">
        <w:t xml:space="preserve">actual emissions, but move to an industry average benchmark by 2030. </w:t>
      </w:r>
      <w:r>
        <w:t>This hybrid approach will ensure costs and benefits are introduced in manageable increments</w:t>
      </w:r>
      <w:r w:rsidR="00065BE8">
        <w:t>, while encouraging the least emissions-intensive production</w:t>
      </w:r>
      <w:r>
        <w:t xml:space="preserve">. </w:t>
      </w:r>
    </w:p>
    <w:p w14:paraId="76F40A94" w14:textId="45173A9D" w:rsidR="00100B0F" w:rsidRPr="00100B0F" w:rsidRDefault="00100B0F" w:rsidP="00100B0F">
      <w:pPr>
        <w:keepNext/>
        <w:keepLines/>
        <w:shd w:val="clear" w:color="auto" w:fill="FFFFFF" w:themeFill="background1"/>
        <w:spacing w:line="240" w:lineRule="auto"/>
      </w:pPr>
      <w:r>
        <w:t>The revised formula is:</w:t>
      </w:r>
    </w:p>
    <w:p w14:paraId="2AF027AB" w14:textId="57A1C73C" w:rsidR="009A2E03" w:rsidRPr="009A2E03" w:rsidRDefault="009A2E03" w:rsidP="009A2E03">
      <w:pPr>
        <w:shd w:val="clear" w:color="auto" w:fill="FFFFFF" w:themeFill="background1"/>
        <w:tabs>
          <w:tab w:val="center" w:pos="4536"/>
          <w:tab w:val="right" w:pos="9026"/>
        </w:tabs>
        <w:spacing w:before="160" w:line="240" w:lineRule="auto"/>
      </w:pPr>
      <w:r>
        <w:rPr>
          <w:b/>
          <w:color w:val="192F49"/>
        </w:rPr>
        <w:tab/>
      </w:r>
      <w:r w:rsidRPr="0061270C">
        <w:rPr>
          <w:b/>
          <w:color w:val="192F49"/>
        </w:rPr>
        <w:t xml:space="preserve">Facility baseline = </w:t>
      </w:r>
      <w:r w:rsidRPr="0061270C">
        <w:rPr>
          <w:b/>
          <w:color w:val="192F49"/>
          <w:sz w:val="32"/>
        </w:rPr>
        <w:t>Ʃ</w:t>
      </w:r>
      <w:r w:rsidRPr="0061270C">
        <w:rPr>
          <w:b/>
          <w:color w:val="192F49"/>
        </w:rPr>
        <w:t xml:space="preserve"> </w:t>
      </w:r>
      <w:r>
        <w:rPr>
          <w:b/>
          <w:color w:val="192F49"/>
        </w:rPr>
        <w:t>Production [</w:t>
      </w:r>
      <w:r w:rsidRPr="0061270C">
        <w:rPr>
          <w:b/>
          <w:color w:val="192F49"/>
        </w:rPr>
        <w:t>(</w:t>
      </w:r>
      <w:r>
        <w:rPr>
          <w:b/>
          <w:color w:val="192F49"/>
        </w:rPr>
        <w:t xml:space="preserve">a </w:t>
      </w:r>
      <w:r>
        <w:rPr>
          <w:rFonts w:cstheme="minorHAnsi"/>
          <w:b/>
          <w:color w:val="192F49"/>
        </w:rPr>
        <w:t>×</w:t>
      </w:r>
      <w:r>
        <w:rPr>
          <w:b/>
          <w:color w:val="192F49"/>
        </w:rPr>
        <w:t xml:space="preserve"> EI</w:t>
      </w:r>
      <w:r w:rsidRPr="00165104">
        <w:rPr>
          <w:b/>
          <w:color w:val="192F49"/>
          <w:vertAlign w:val="subscript"/>
        </w:rPr>
        <w:t>IA</w:t>
      </w:r>
      <w:r>
        <w:rPr>
          <w:b/>
          <w:color w:val="192F49"/>
        </w:rPr>
        <w:t>)</w:t>
      </w:r>
      <w:r w:rsidRPr="0061270C">
        <w:rPr>
          <w:b/>
          <w:color w:val="192F49"/>
        </w:rPr>
        <w:t xml:space="preserve"> </w:t>
      </w:r>
      <w:r>
        <w:rPr>
          <w:rFonts w:cstheme="minorHAnsi"/>
          <w:b/>
          <w:color w:val="192F49"/>
        </w:rPr>
        <w:t>+</w:t>
      </w:r>
      <w:r w:rsidRPr="0061270C">
        <w:rPr>
          <w:b/>
          <w:color w:val="192F49"/>
        </w:rPr>
        <w:t xml:space="preserve"> </w:t>
      </w:r>
      <w:r>
        <w:rPr>
          <w:b/>
          <w:color w:val="192F49"/>
        </w:rPr>
        <w:t xml:space="preserve">(b </w:t>
      </w:r>
      <w:r>
        <w:rPr>
          <w:rFonts w:cstheme="minorHAnsi"/>
          <w:b/>
          <w:color w:val="192F49"/>
        </w:rPr>
        <w:t>×</w:t>
      </w:r>
      <w:r>
        <w:rPr>
          <w:b/>
          <w:color w:val="192F49"/>
        </w:rPr>
        <w:t xml:space="preserve"> EI</w:t>
      </w:r>
      <w:r w:rsidRPr="00165104">
        <w:rPr>
          <w:b/>
          <w:color w:val="192F49"/>
          <w:vertAlign w:val="subscript"/>
        </w:rPr>
        <w:t>SS</w:t>
      </w:r>
      <w:r w:rsidRPr="0061270C">
        <w:rPr>
          <w:b/>
          <w:color w:val="192F49"/>
        </w:rPr>
        <w:t>)</w:t>
      </w:r>
      <w:r>
        <w:rPr>
          <w:b/>
          <w:color w:val="192F49"/>
        </w:rPr>
        <w:t>]</w:t>
      </w:r>
      <w:r>
        <w:rPr>
          <w:b/>
          <w:color w:val="192F49"/>
        </w:rPr>
        <w:tab/>
        <w:t>(2)</w:t>
      </w:r>
    </w:p>
    <w:p w14:paraId="74FAE5B8" w14:textId="3D1A4EA7" w:rsidR="00F544CD" w:rsidRDefault="009A2E03" w:rsidP="00B73EEF">
      <w:pPr>
        <w:pStyle w:val="ListParagraph"/>
        <w:numPr>
          <w:ilvl w:val="0"/>
          <w:numId w:val="10"/>
        </w:numPr>
        <w:shd w:val="clear" w:color="auto" w:fill="FFFFFF" w:themeFill="background1"/>
        <w:spacing w:after="180" w:line="240" w:lineRule="exact"/>
        <w:ind w:left="425" w:hanging="425"/>
        <w:contextualSpacing w:val="0"/>
        <w:rPr>
          <w:color w:val="000000" w:themeColor="text1"/>
        </w:rPr>
      </w:pPr>
      <w:r>
        <w:rPr>
          <w:b/>
          <w:color w:val="000000" w:themeColor="text1"/>
        </w:rPr>
        <w:t>EI</w:t>
      </w:r>
      <w:r w:rsidRPr="00165104">
        <w:rPr>
          <w:b/>
          <w:color w:val="000000" w:themeColor="text1"/>
          <w:vertAlign w:val="subscript"/>
        </w:rPr>
        <w:t>IA</w:t>
      </w:r>
      <w:r>
        <w:rPr>
          <w:b/>
          <w:color w:val="000000" w:themeColor="text1"/>
        </w:rPr>
        <w:t xml:space="preserve"> </w:t>
      </w:r>
      <w:r w:rsidR="00F544CD">
        <w:rPr>
          <w:color w:val="000000" w:themeColor="text1"/>
        </w:rPr>
        <w:t>is</w:t>
      </w:r>
      <w:r w:rsidRPr="00165104">
        <w:rPr>
          <w:color w:val="000000" w:themeColor="text1"/>
        </w:rPr>
        <w:t xml:space="preserve"> the </w:t>
      </w:r>
      <w:r w:rsidRPr="003973AF">
        <w:rPr>
          <w:b/>
          <w:color w:val="000000" w:themeColor="text1"/>
        </w:rPr>
        <w:t>industry average emissions intensity</w:t>
      </w:r>
      <w:r w:rsidRPr="00165104">
        <w:rPr>
          <w:color w:val="000000" w:themeColor="text1"/>
        </w:rPr>
        <w:t xml:space="preserve"> </w:t>
      </w:r>
      <w:r>
        <w:rPr>
          <w:color w:val="000000" w:themeColor="text1"/>
        </w:rPr>
        <w:t>of production</w:t>
      </w:r>
      <w:r w:rsidR="00F544CD">
        <w:rPr>
          <w:color w:val="000000" w:themeColor="text1"/>
        </w:rPr>
        <w:t>, measured as the average of existing industry performance and published in Schedule 2 of the Safeguard Rule</w:t>
      </w:r>
      <w:r w:rsidR="00BF12BF">
        <w:rPr>
          <w:color w:val="000000" w:themeColor="text1"/>
        </w:rPr>
        <w:t>.</w:t>
      </w:r>
    </w:p>
    <w:p w14:paraId="38170E7B" w14:textId="354830F7" w:rsidR="009A2E03" w:rsidRDefault="00F544CD" w:rsidP="00B73EEF">
      <w:pPr>
        <w:pStyle w:val="ListParagraph"/>
        <w:numPr>
          <w:ilvl w:val="0"/>
          <w:numId w:val="10"/>
        </w:numPr>
        <w:shd w:val="clear" w:color="auto" w:fill="FFFFFF" w:themeFill="background1"/>
        <w:spacing w:after="180" w:line="240" w:lineRule="exact"/>
        <w:ind w:left="425" w:hanging="425"/>
        <w:contextualSpacing w:val="0"/>
        <w:rPr>
          <w:color w:val="000000" w:themeColor="text1"/>
        </w:rPr>
      </w:pPr>
      <w:r>
        <w:rPr>
          <w:b/>
          <w:color w:val="000000" w:themeColor="text1"/>
        </w:rPr>
        <w:t>EI</w:t>
      </w:r>
      <w:r w:rsidRPr="00165104">
        <w:rPr>
          <w:b/>
          <w:color w:val="000000" w:themeColor="text1"/>
          <w:vertAlign w:val="subscript"/>
        </w:rPr>
        <w:t>SS</w:t>
      </w:r>
      <w:r>
        <w:rPr>
          <w:b/>
          <w:color w:val="000000" w:themeColor="text1"/>
          <w:vertAlign w:val="subscript"/>
        </w:rPr>
        <w:t xml:space="preserve"> </w:t>
      </w:r>
      <w:r>
        <w:rPr>
          <w:color w:val="000000" w:themeColor="text1"/>
        </w:rPr>
        <w:t xml:space="preserve">is the </w:t>
      </w:r>
      <w:r w:rsidRPr="003973AF">
        <w:rPr>
          <w:b/>
          <w:color w:val="000000" w:themeColor="text1"/>
        </w:rPr>
        <w:t>site-specific emissions intensity</w:t>
      </w:r>
      <w:r w:rsidRPr="00165104">
        <w:rPr>
          <w:color w:val="000000" w:themeColor="text1"/>
        </w:rPr>
        <w:t xml:space="preserve"> </w:t>
      </w:r>
      <w:r>
        <w:rPr>
          <w:color w:val="000000" w:themeColor="text1"/>
        </w:rPr>
        <w:t>of production, measured as the emissions per unit of output at each particular Safeguard Mechanism facility</w:t>
      </w:r>
      <w:r w:rsidR="00BF12BF">
        <w:rPr>
          <w:color w:val="000000" w:themeColor="text1"/>
        </w:rPr>
        <w:t>.</w:t>
      </w:r>
    </w:p>
    <w:p w14:paraId="1077342B" w14:textId="5C0268FD" w:rsidR="009A2E03" w:rsidRDefault="009A2E03" w:rsidP="00B73EEF">
      <w:pPr>
        <w:pStyle w:val="ListParagraph"/>
        <w:numPr>
          <w:ilvl w:val="0"/>
          <w:numId w:val="10"/>
        </w:numPr>
        <w:shd w:val="clear" w:color="auto" w:fill="FFFFFF" w:themeFill="background1"/>
        <w:spacing w:after="240" w:line="240" w:lineRule="exact"/>
        <w:ind w:left="425" w:hanging="425"/>
        <w:contextualSpacing w:val="0"/>
        <w:rPr>
          <w:color w:val="000000" w:themeColor="text1"/>
        </w:rPr>
      </w:pPr>
      <w:r w:rsidRPr="00165104">
        <w:rPr>
          <w:b/>
          <w:color w:val="000000" w:themeColor="text1"/>
        </w:rPr>
        <w:t>a and b</w:t>
      </w:r>
      <w:r>
        <w:rPr>
          <w:color w:val="000000" w:themeColor="text1"/>
        </w:rPr>
        <w:t xml:space="preserve"> represent the ratio of industry average and site-specific emissions-intensity values (where a + b = 1) outlined in Table 1.</w:t>
      </w:r>
    </w:p>
    <w:p w14:paraId="1ABBDA9B" w14:textId="253EAFB5" w:rsidR="009A2E03" w:rsidRPr="00A201DC" w:rsidRDefault="009A2E03" w:rsidP="00A6630D">
      <w:pPr>
        <w:keepNext/>
        <w:keepLines/>
        <w:shd w:val="clear" w:color="auto" w:fill="FFFFFF" w:themeFill="background1"/>
        <w:spacing w:after="140" w:line="240" w:lineRule="exact"/>
        <w:rPr>
          <w:i/>
          <w:color w:val="2E74B5" w:themeColor="accent1" w:themeShade="BF"/>
        </w:rPr>
      </w:pPr>
      <w:r w:rsidRPr="00A201DC">
        <w:rPr>
          <w:i/>
          <w:color w:val="2E74B5" w:themeColor="accent1" w:themeShade="BF"/>
        </w:rPr>
        <w:lastRenderedPageBreak/>
        <w:t>Table 1: Ratio of emissions-intensity values under the hybrid baseline setting model</w:t>
      </w: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3"/>
        <w:gridCol w:w="992"/>
        <w:gridCol w:w="992"/>
        <w:gridCol w:w="1035"/>
      </w:tblGrid>
      <w:tr w:rsidR="00E42ABA" w:rsidRPr="001A184A" w14:paraId="425DBA0C" w14:textId="77777777" w:rsidTr="00E42ABA">
        <w:tc>
          <w:tcPr>
            <w:tcW w:w="2122" w:type="dxa"/>
            <w:shd w:val="clear" w:color="auto" w:fill="DEEAF6" w:themeFill="accent1" w:themeFillTint="33"/>
          </w:tcPr>
          <w:p w14:paraId="6DBE8068" w14:textId="77777777" w:rsidR="009A2E03" w:rsidRPr="001A184A" w:rsidRDefault="009A2E03" w:rsidP="00A6630D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0511456" w14:textId="77777777" w:rsidR="009A2E03" w:rsidRPr="001A184A" w:rsidRDefault="009A2E03" w:rsidP="00A6630D">
            <w:pPr>
              <w:keepNext/>
              <w:keepLines/>
              <w:jc w:val="center"/>
            </w:pPr>
            <w:r w:rsidRPr="001A184A">
              <w:rPr>
                <w:rFonts w:ascii="Calibri" w:hAnsi="Calibri" w:cs="Calibri"/>
              </w:rPr>
              <w:t>2023-24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185F925" w14:textId="77777777" w:rsidR="009A2E03" w:rsidRPr="001A184A" w:rsidRDefault="009A2E03" w:rsidP="00A6630D">
            <w:pPr>
              <w:keepNext/>
              <w:keepLines/>
              <w:jc w:val="center"/>
            </w:pPr>
            <w:r w:rsidRPr="001A184A">
              <w:rPr>
                <w:rFonts w:ascii="Calibri" w:hAnsi="Calibri" w:cs="Calibri"/>
              </w:rPr>
              <w:t>2024-25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BB3A203" w14:textId="77777777" w:rsidR="009A2E03" w:rsidRPr="001A184A" w:rsidRDefault="009A2E03" w:rsidP="00A6630D">
            <w:pPr>
              <w:keepNext/>
              <w:keepLines/>
              <w:jc w:val="center"/>
            </w:pPr>
            <w:r w:rsidRPr="001A184A">
              <w:rPr>
                <w:rFonts w:ascii="Calibri" w:hAnsi="Calibri" w:cs="Calibri"/>
              </w:rPr>
              <w:t>2025-26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055B0EF5" w14:textId="77777777" w:rsidR="009A2E03" w:rsidRPr="001A184A" w:rsidRDefault="009A2E03" w:rsidP="00A6630D">
            <w:pPr>
              <w:keepNext/>
              <w:keepLines/>
              <w:jc w:val="center"/>
            </w:pPr>
            <w:r w:rsidRPr="001A184A">
              <w:rPr>
                <w:rFonts w:ascii="Calibri" w:hAnsi="Calibri" w:cs="Calibri"/>
              </w:rPr>
              <w:t>2026-27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1597F06" w14:textId="77777777" w:rsidR="009A2E03" w:rsidRPr="001A184A" w:rsidRDefault="009A2E03" w:rsidP="00A6630D">
            <w:pPr>
              <w:keepNext/>
              <w:keepLines/>
              <w:jc w:val="center"/>
            </w:pPr>
            <w:r w:rsidRPr="001A184A">
              <w:rPr>
                <w:rFonts w:ascii="Calibri" w:hAnsi="Calibri" w:cs="Calibri"/>
              </w:rPr>
              <w:t>2027-28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16AB2E1" w14:textId="77777777" w:rsidR="009A2E03" w:rsidRPr="001A184A" w:rsidRDefault="009A2E03" w:rsidP="00A6630D">
            <w:pPr>
              <w:keepNext/>
              <w:keepLines/>
              <w:jc w:val="center"/>
            </w:pPr>
            <w:r w:rsidRPr="001A184A">
              <w:rPr>
                <w:rFonts w:ascii="Calibri" w:hAnsi="Calibri" w:cs="Calibri"/>
              </w:rPr>
              <w:t>2028-29</w:t>
            </w:r>
          </w:p>
        </w:tc>
        <w:tc>
          <w:tcPr>
            <w:tcW w:w="1035" w:type="dxa"/>
            <w:shd w:val="clear" w:color="auto" w:fill="DEEAF6" w:themeFill="accent1" w:themeFillTint="33"/>
            <w:vAlign w:val="center"/>
          </w:tcPr>
          <w:p w14:paraId="655D2B94" w14:textId="77777777" w:rsidR="009A2E03" w:rsidRPr="001A184A" w:rsidRDefault="009A2E03" w:rsidP="00A6630D">
            <w:pPr>
              <w:keepNext/>
              <w:keepLines/>
              <w:jc w:val="center"/>
            </w:pPr>
            <w:r w:rsidRPr="001A184A">
              <w:rPr>
                <w:rFonts w:ascii="Calibri" w:hAnsi="Calibri" w:cs="Calibri"/>
              </w:rPr>
              <w:t>2029-30</w:t>
            </w:r>
          </w:p>
        </w:tc>
      </w:tr>
      <w:tr w:rsidR="009A2E03" w14:paraId="7629EEA0" w14:textId="77777777" w:rsidTr="009A2E03">
        <w:tc>
          <w:tcPr>
            <w:tcW w:w="2122" w:type="dxa"/>
          </w:tcPr>
          <w:p w14:paraId="20B74876" w14:textId="1FA7B435" w:rsidR="009A2E03" w:rsidRPr="001A184A" w:rsidRDefault="009A2E03" w:rsidP="00A6630D">
            <w:pPr>
              <w:keepNext/>
              <w:keepLines/>
              <w:spacing w:before="60" w:after="60"/>
            </w:pPr>
            <w:r>
              <w:t xml:space="preserve">Industry average (a) </w:t>
            </w:r>
          </w:p>
        </w:tc>
        <w:tc>
          <w:tcPr>
            <w:tcW w:w="992" w:type="dxa"/>
            <w:vAlign w:val="bottom"/>
          </w:tcPr>
          <w:p w14:paraId="32639223" w14:textId="683F9D86" w:rsidR="009A2E03" w:rsidRPr="00E42ABA" w:rsidRDefault="00E42ABA" w:rsidP="00A6630D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992" w:type="dxa"/>
            <w:vAlign w:val="bottom"/>
          </w:tcPr>
          <w:p w14:paraId="30EA1631" w14:textId="0E2F59C8" w:rsidR="009A2E03" w:rsidRPr="00E42ABA" w:rsidRDefault="00E42ABA" w:rsidP="00A6630D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992" w:type="dxa"/>
            <w:vAlign w:val="bottom"/>
          </w:tcPr>
          <w:p w14:paraId="1F622899" w14:textId="1E6B7F46" w:rsidR="009A2E03" w:rsidRPr="00E42ABA" w:rsidRDefault="00E42ABA" w:rsidP="00A6630D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993" w:type="dxa"/>
            <w:vAlign w:val="bottom"/>
          </w:tcPr>
          <w:p w14:paraId="13BC4469" w14:textId="6740719F" w:rsidR="009A2E03" w:rsidRPr="00E42ABA" w:rsidRDefault="00E42ABA" w:rsidP="00A6630D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992" w:type="dxa"/>
            <w:vAlign w:val="bottom"/>
          </w:tcPr>
          <w:p w14:paraId="389926EB" w14:textId="337467D4" w:rsidR="009A2E03" w:rsidRPr="00E42ABA" w:rsidRDefault="00E42ABA" w:rsidP="00A6630D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992" w:type="dxa"/>
            <w:vAlign w:val="bottom"/>
          </w:tcPr>
          <w:p w14:paraId="6676D6BE" w14:textId="6C570CD0" w:rsidR="009A2E03" w:rsidRPr="00E42ABA" w:rsidRDefault="00E42ABA" w:rsidP="00A6630D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035" w:type="dxa"/>
            <w:vAlign w:val="bottom"/>
          </w:tcPr>
          <w:p w14:paraId="78191AE6" w14:textId="4D20462A" w:rsidR="009A2E03" w:rsidRPr="00E42ABA" w:rsidRDefault="00E42ABA" w:rsidP="00A6630D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A2E03" w14:paraId="3EB61799" w14:textId="77777777" w:rsidTr="009A2E03">
        <w:tc>
          <w:tcPr>
            <w:tcW w:w="2122" w:type="dxa"/>
          </w:tcPr>
          <w:p w14:paraId="41B460BE" w14:textId="5A26E8B7" w:rsidR="009A2E03" w:rsidRDefault="009A2E03" w:rsidP="00A6630D">
            <w:pPr>
              <w:keepNext/>
              <w:keepLines/>
              <w:spacing w:before="60" w:after="60"/>
            </w:pPr>
            <w:r>
              <w:t>Site-specific (b)</w:t>
            </w:r>
          </w:p>
        </w:tc>
        <w:tc>
          <w:tcPr>
            <w:tcW w:w="992" w:type="dxa"/>
            <w:vAlign w:val="bottom"/>
          </w:tcPr>
          <w:p w14:paraId="3FF0332A" w14:textId="37DAFECD" w:rsidR="009A2E03" w:rsidRPr="00E42ABA" w:rsidRDefault="00E42ABA" w:rsidP="00A6630D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92" w:type="dxa"/>
            <w:vAlign w:val="bottom"/>
          </w:tcPr>
          <w:p w14:paraId="7CE79970" w14:textId="0EAEBE8F" w:rsidR="009A2E03" w:rsidRPr="00E42ABA" w:rsidRDefault="00E42ABA" w:rsidP="00A6630D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992" w:type="dxa"/>
            <w:vAlign w:val="bottom"/>
          </w:tcPr>
          <w:p w14:paraId="5BF64CF4" w14:textId="098BBEA7" w:rsidR="009A2E03" w:rsidRPr="00E42ABA" w:rsidRDefault="00E42ABA" w:rsidP="00A6630D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993" w:type="dxa"/>
            <w:vAlign w:val="bottom"/>
          </w:tcPr>
          <w:p w14:paraId="12F322CE" w14:textId="42B680D5" w:rsidR="009A2E03" w:rsidRPr="00E42ABA" w:rsidRDefault="00E42ABA" w:rsidP="00A6630D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992" w:type="dxa"/>
            <w:vAlign w:val="bottom"/>
          </w:tcPr>
          <w:p w14:paraId="148AFD79" w14:textId="12904E40" w:rsidR="009A2E03" w:rsidRPr="00E42ABA" w:rsidRDefault="00E42ABA" w:rsidP="00A6630D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992" w:type="dxa"/>
            <w:vAlign w:val="bottom"/>
          </w:tcPr>
          <w:p w14:paraId="332ACD1F" w14:textId="249E2039" w:rsidR="009A2E03" w:rsidRPr="00E42ABA" w:rsidRDefault="00E42ABA" w:rsidP="00A6630D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1035" w:type="dxa"/>
            <w:vAlign w:val="bottom"/>
          </w:tcPr>
          <w:p w14:paraId="0C0BE0A7" w14:textId="782532F7" w:rsidR="009A2E03" w:rsidRPr="00E42ABA" w:rsidRDefault="00E42ABA" w:rsidP="00A6630D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4A330FC4" w14:textId="77777777" w:rsidR="003973AF" w:rsidRPr="00F544CD" w:rsidRDefault="003973AF" w:rsidP="003973AF">
      <w:pPr>
        <w:pStyle w:val="Heading2"/>
        <w:spacing w:before="240" w:after="120" w:line="240" w:lineRule="auto"/>
        <w:ind w:left="720" w:hanging="720"/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</w:pPr>
      <w:r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>Reducing emissions: introducing baseline decline</w:t>
      </w:r>
    </w:p>
    <w:p w14:paraId="721014D7" w14:textId="04F8DB87" w:rsidR="003973AF" w:rsidRDefault="00584D4C" w:rsidP="003973AF">
      <w:pPr>
        <w:keepLines/>
      </w:pPr>
      <w:r>
        <w:t>Aggregate b</w:t>
      </w:r>
      <w:r w:rsidR="003973AF">
        <w:t xml:space="preserve">aselines must fall for the Safeguard Mechanism to contribute to Australia’s climate goals. The </w:t>
      </w:r>
      <w:r w:rsidR="00BF12BF">
        <w:t>g</w:t>
      </w:r>
      <w:r w:rsidR="003973AF">
        <w:t xml:space="preserve">overnment proposes that facility baselines will fall by </w:t>
      </w:r>
      <w:r w:rsidR="003973AF">
        <w:rPr>
          <w:b/>
        </w:rPr>
        <w:t>4.9</w:t>
      </w:r>
      <w:r w:rsidR="00BF12BF">
        <w:rPr>
          <w:b/>
        </w:rPr>
        <w:t>%</w:t>
      </w:r>
      <w:r w:rsidR="003973AF" w:rsidRPr="00204551">
        <w:rPr>
          <w:b/>
        </w:rPr>
        <w:t xml:space="preserve"> each year</w:t>
      </w:r>
      <w:r w:rsidR="003973AF">
        <w:rPr>
          <w:b/>
        </w:rPr>
        <w:t xml:space="preserve"> to 2030</w:t>
      </w:r>
      <w:r w:rsidR="003973AF">
        <w:t xml:space="preserve">. </w:t>
      </w:r>
    </w:p>
    <w:p w14:paraId="60EB6BDA" w14:textId="29845877" w:rsidR="003973AF" w:rsidRPr="00584D4C" w:rsidRDefault="003973AF" w:rsidP="00584D4C">
      <w:pPr>
        <w:keepLines/>
      </w:pPr>
      <w:r>
        <w:t>This decline rat</w:t>
      </w:r>
      <w:r w:rsidR="00D74910">
        <w:t>e is sufficient to ensure that—</w:t>
      </w:r>
      <w:r>
        <w:t>even with individual facility baselines risi</w:t>
      </w:r>
      <w:r w:rsidR="00D74910">
        <w:t>ng and falling with production—</w:t>
      </w:r>
      <w:r w:rsidR="00584D4C">
        <w:t>aggregate</w:t>
      </w:r>
      <w:r>
        <w:t xml:space="preserve"> emissions will fall consistent with the Safeguard Mechanism target. </w:t>
      </w:r>
      <w:r w:rsidR="00584D4C" w:rsidRPr="00B86481">
        <w:t>The</w:t>
      </w:r>
      <w:r w:rsidRPr="00B86481">
        <w:t xml:space="preserve"> revised baseline setting formula will be:</w:t>
      </w:r>
      <w:r w:rsidRPr="0061270C">
        <w:rPr>
          <w:color w:val="192F49"/>
        </w:rPr>
        <w:t xml:space="preserve"> </w:t>
      </w:r>
    </w:p>
    <w:p w14:paraId="429566F5" w14:textId="77777777" w:rsidR="003973AF" w:rsidRPr="0061270C" w:rsidRDefault="003973AF" w:rsidP="003973AF">
      <w:pPr>
        <w:shd w:val="clear" w:color="auto" w:fill="FFFFFF" w:themeFill="background1"/>
        <w:tabs>
          <w:tab w:val="center" w:pos="4536"/>
          <w:tab w:val="right" w:pos="9026"/>
        </w:tabs>
        <w:spacing w:after="0" w:line="384" w:lineRule="auto"/>
        <w:ind w:firstLine="720"/>
        <w:rPr>
          <w:b/>
          <w:color w:val="192F49"/>
        </w:rPr>
      </w:pPr>
      <w:r w:rsidRPr="0061270C">
        <w:rPr>
          <w:b/>
          <w:color w:val="192F49"/>
        </w:rPr>
        <w:t xml:space="preserve">Facility baseline = </w:t>
      </w:r>
      <w:r w:rsidRPr="0061270C">
        <w:rPr>
          <w:b/>
          <w:color w:val="192F49"/>
          <w:sz w:val="32"/>
        </w:rPr>
        <w:t>Ʃ</w:t>
      </w:r>
      <w:r w:rsidRPr="0061270C">
        <w:rPr>
          <w:b/>
          <w:color w:val="192F49"/>
        </w:rPr>
        <w:t xml:space="preserve"> </w:t>
      </w:r>
      <w:r>
        <w:rPr>
          <w:b/>
          <w:color w:val="192F49"/>
        </w:rPr>
        <w:t>Production [</w:t>
      </w:r>
      <w:r w:rsidRPr="0061270C">
        <w:rPr>
          <w:b/>
          <w:color w:val="192F49"/>
        </w:rPr>
        <w:t>(</w:t>
      </w:r>
      <w:r>
        <w:rPr>
          <w:b/>
          <w:color w:val="192F49"/>
        </w:rPr>
        <w:t xml:space="preserve">a </w:t>
      </w:r>
      <w:r>
        <w:rPr>
          <w:rFonts w:cstheme="minorHAnsi"/>
          <w:b/>
          <w:color w:val="192F49"/>
        </w:rPr>
        <w:t>×</w:t>
      </w:r>
      <w:r>
        <w:rPr>
          <w:b/>
          <w:color w:val="192F49"/>
        </w:rPr>
        <w:t xml:space="preserve"> EI</w:t>
      </w:r>
      <w:r w:rsidRPr="00165104">
        <w:rPr>
          <w:b/>
          <w:color w:val="192F49"/>
          <w:vertAlign w:val="subscript"/>
        </w:rPr>
        <w:t>IA</w:t>
      </w:r>
      <w:r>
        <w:rPr>
          <w:b/>
          <w:color w:val="192F49"/>
        </w:rPr>
        <w:t>)</w:t>
      </w:r>
      <w:r w:rsidRPr="0061270C">
        <w:rPr>
          <w:b/>
          <w:color w:val="192F49"/>
        </w:rPr>
        <w:t xml:space="preserve"> </w:t>
      </w:r>
      <w:r>
        <w:rPr>
          <w:rFonts w:cstheme="minorHAnsi"/>
          <w:b/>
          <w:color w:val="192F49"/>
        </w:rPr>
        <w:t>+</w:t>
      </w:r>
      <w:r w:rsidRPr="0061270C">
        <w:rPr>
          <w:b/>
          <w:color w:val="192F49"/>
        </w:rPr>
        <w:t xml:space="preserve"> </w:t>
      </w:r>
      <w:r>
        <w:rPr>
          <w:b/>
          <w:color w:val="192F49"/>
        </w:rPr>
        <w:t xml:space="preserve">(b </w:t>
      </w:r>
      <w:r>
        <w:rPr>
          <w:rFonts w:cstheme="minorHAnsi"/>
          <w:b/>
          <w:color w:val="192F49"/>
        </w:rPr>
        <w:t>×</w:t>
      </w:r>
      <w:r>
        <w:rPr>
          <w:b/>
          <w:color w:val="192F49"/>
        </w:rPr>
        <w:t xml:space="preserve"> EI</w:t>
      </w:r>
      <w:r w:rsidRPr="00165104">
        <w:rPr>
          <w:b/>
          <w:color w:val="192F49"/>
          <w:vertAlign w:val="subscript"/>
        </w:rPr>
        <w:t>SS</w:t>
      </w:r>
      <w:r w:rsidRPr="0061270C">
        <w:rPr>
          <w:b/>
          <w:color w:val="192F49"/>
        </w:rPr>
        <w:t>)</w:t>
      </w:r>
      <w:r>
        <w:rPr>
          <w:b/>
          <w:color w:val="192F49"/>
        </w:rPr>
        <w:t>]</w:t>
      </w:r>
      <w:r w:rsidRPr="0061270C">
        <w:rPr>
          <w:b/>
          <w:color w:val="192F49"/>
        </w:rPr>
        <w:t xml:space="preserve"> </w:t>
      </w:r>
      <w:r>
        <w:rPr>
          <w:rFonts w:cstheme="minorHAnsi"/>
          <w:b/>
          <w:color w:val="192F49"/>
        </w:rPr>
        <w:t>×</w:t>
      </w:r>
      <w:r>
        <w:rPr>
          <w:b/>
          <w:color w:val="192F49"/>
        </w:rPr>
        <w:t xml:space="preserve"> decline factor</w:t>
      </w:r>
      <w:r>
        <w:rPr>
          <w:b/>
          <w:color w:val="192F49"/>
        </w:rPr>
        <w:tab/>
        <w:t>(3)</w:t>
      </w:r>
    </w:p>
    <w:p w14:paraId="789B99E5" w14:textId="7739D76A" w:rsidR="003973AF" w:rsidRPr="00D467D7" w:rsidRDefault="00AD38BD" w:rsidP="003973AF">
      <w:pPr>
        <w:shd w:val="clear" w:color="auto" w:fill="FFFFFF" w:themeFill="background1"/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>w</w:t>
      </w:r>
      <w:r w:rsidR="003973AF">
        <w:rPr>
          <w:color w:val="000000" w:themeColor="text1"/>
        </w:rPr>
        <w:t xml:space="preserve">here the </w:t>
      </w:r>
      <w:r w:rsidR="003973AF" w:rsidRPr="00D467D7">
        <w:rPr>
          <w:b/>
          <w:color w:val="000000" w:themeColor="text1"/>
        </w:rPr>
        <w:t>decline factor</w:t>
      </w:r>
      <w:r w:rsidR="003973AF" w:rsidRPr="00D467D7">
        <w:rPr>
          <w:color w:val="000000" w:themeColor="text1"/>
        </w:rPr>
        <w:t xml:space="preserve"> reflects the cumulative decline rate</w:t>
      </w:r>
      <w:r w:rsidR="003973AF">
        <w:rPr>
          <w:color w:val="000000" w:themeColor="text1"/>
        </w:rPr>
        <w:t>, as described in table 2</w:t>
      </w:r>
      <w:r w:rsidR="003973AF" w:rsidRPr="00D467D7">
        <w:rPr>
          <w:color w:val="000000" w:themeColor="text1"/>
        </w:rPr>
        <w:t>.</w:t>
      </w:r>
    </w:p>
    <w:p w14:paraId="046BDEAE" w14:textId="77777777" w:rsidR="003973AF" w:rsidRPr="00A201DC" w:rsidRDefault="003973AF" w:rsidP="003973AF">
      <w:pPr>
        <w:shd w:val="clear" w:color="auto" w:fill="FFFFFF" w:themeFill="background1"/>
        <w:spacing w:after="140" w:line="240" w:lineRule="exact"/>
        <w:rPr>
          <w:i/>
          <w:color w:val="2E74B5" w:themeColor="accent1" w:themeShade="BF"/>
        </w:rPr>
      </w:pPr>
      <w:r w:rsidRPr="00A201DC">
        <w:rPr>
          <w:i/>
          <w:color w:val="2E74B5" w:themeColor="accent1" w:themeShade="BF"/>
        </w:rPr>
        <w:t>Table 2: Decline factor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127"/>
        <w:gridCol w:w="1127"/>
        <w:gridCol w:w="1127"/>
        <w:gridCol w:w="1127"/>
        <w:gridCol w:w="1127"/>
        <w:gridCol w:w="1127"/>
        <w:gridCol w:w="1034"/>
      </w:tblGrid>
      <w:tr w:rsidR="003973AF" w:rsidRPr="001A184A" w14:paraId="71A7C9EE" w14:textId="77777777" w:rsidTr="00C003BE">
        <w:tc>
          <w:tcPr>
            <w:tcW w:w="1838" w:type="dxa"/>
            <w:shd w:val="clear" w:color="auto" w:fill="DEEAF6" w:themeFill="accent1" w:themeFillTint="33"/>
          </w:tcPr>
          <w:p w14:paraId="394A6FAF" w14:textId="77777777" w:rsidR="003973AF" w:rsidRPr="001A184A" w:rsidRDefault="003973AF" w:rsidP="00C003BE">
            <w:pPr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14:paraId="77AB686F" w14:textId="77777777" w:rsidR="003973AF" w:rsidRPr="001A184A" w:rsidRDefault="003973AF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2023-24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14:paraId="05D25EB1" w14:textId="77777777" w:rsidR="003973AF" w:rsidRPr="001A184A" w:rsidRDefault="003973AF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2024-25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14:paraId="72876338" w14:textId="77777777" w:rsidR="003973AF" w:rsidRPr="001A184A" w:rsidRDefault="003973AF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2025-26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14:paraId="4EF66104" w14:textId="77777777" w:rsidR="003973AF" w:rsidRPr="001A184A" w:rsidRDefault="003973AF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2026-27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14:paraId="5CF4B217" w14:textId="77777777" w:rsidR="003973AF" w:rsidRPr="001A184A" w:rsidRDefault="003973AF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2027-28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14:paraId="3260FBD1" w14:textId="77777777" w:rsidR="003973AF" w:rsidRPr="001A184A" w:rsidRDefault="003973AF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2028-29</w:t>
            </w:r>
          </w:p>
        </w:tc>
        <w:tc>
          <w:tcPr>
            <w:tcW w:w="1034" w:type="dxa"/>
            <w:shd w:val="clear" w:color="auto" w:fill="DEEAF6" w:themeFill="accent1" w:themeFillTint="33"/>
            <w:vAlign w:val="center"/>
          </w:tcPr>
          <w:p w14:paraId="4DA94423" w14:textId="77777777" w:rsidR="003973AF" w:rsidRPr="001A184A" w:rsidRDefault="003973AF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2029-30</w:t>
            </w:r>
          </w:p>
        </w:tc>
      </w:tr>
      <w:tr w:rsidR="0012154E" w14:paraId="0BBF15D1" w14:textId="77777777" w:rsidTr="00C003BE">
        <w:tc>
          <w:tcPr>
            <w:tcW w:w="1838" w:type="dxa"/>
          </w:tcPr>
          <w:p w14:paraId="4CFA99C9" w14:textId="77777777" w:rsidR="0012154E" w:rsidRPr="001A184A" w:rsidRDefault="0012154E" w:rsidP="0012154E">
            <w:pPr>
              <w:keepLines/>
              <w:spacing w:before="60" w:after="60"/>
              <w:ind w:left="-113"/>
              <w:jc w:val="center"/>
            </w:pPr>
            <w:r w:rsidRPr="001A184A">
              <w:t>Decline factor</w:t>
            </w:r>
          </w:p>
        </w:tc>
        <w:tc>
          <w:tcPr>
            <w:tcW w:w="1127" w:type="dxa"/>
            <w:vAlign w:val="bottom"/>
          </w:tcPr>
          <w:p w14:paraId="44EA8445" w14:textId="2D3EC570" w:rsidR="0012154E" w:rsidRPr="00D63069" w:rsidRDefault="0012154E" w:rsidP="0012154E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0.95</w:t>
            </w:r>
            <w:r w:rsidR="001E683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7" w:type="dxa"/>
            <w:vAlign w:val="bottom"/>
          </w:tcPr>
          <w:p w14:paraId="73E11325" w14:textId="223E17EF" w:rsidR="0012154E" w:rsidRPr="00D63069" w:rsidRDefault="0012154E" w:rsidP="0012154E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0.90</w:t>
            </w:r>
            <w:r w:rsidR="001E683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7" w:type="dxa"/>
            <w:vAlign w:val="bottom"/>
          </w:tcPr>
          <w:p w14:paraId="1CA8689B" w14:textId="52EA7B9B" w:rsidR="0012154E" w:rsidRPr="00D63069" w:rsidRDefault="0012154E" w:rsidP="0012154E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0.85</w:t>
            </w:r>
            <w:r w:rsidR="001E683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27" w:type="dxa"/>
            <w:vAlign w:val="bottom"/>
          </w:tcPr>
          <w:p w14:paraId="03C1C706" w14:textId="4033F1FD" w:rsidR="0012154E" w:rsidRPr="00D63069" w:rsidRDefault="0012154E" w:rsidP="0012154E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0.80</w:t>
            </w:r>
            <w:r w:rsidR="001E683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7" w:type="dxa"/>
            <w:vAlign w:val="bottom"/>
          </w:tcPr>
          <w:p w14:paraId="3BFCD3F2" w14:textId="3D0D198B" w:rsidR="0012154E" w:rsidRPr="00D63069" w:rsidRDefault="001E6835" w:rsidP="0012154E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0.755</w:t>
            </w:r>
          </w:p>
        </w:tc>
        <w:tc>
          <w:tcPr>
            <w:tcW w:w="1127" w:type="dxa"/>
            <w:vAlign w:val="bottom"/>
          </w:tcPr>
          <w:p w14:paraId="6D5BCF8A" w14:textId="5B3E9A3F" w:rsidR="0012154E" w:rsidRPr="00D63069" w:rsidRDefault="001E6835" w:rsidP="0012154E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0.706</w:t>
            </w:r>
          </w:p>
        </w:tc>
        <w:tc>
          <w:tcPr>
            <w:tcW w:w="1034" w:type="dxa"/>
            <w:vAlign w:val="bottom"/>
          </w:tcPr>
          <w:p w14:paraId="7635DF29" w14:textId="062BF31E" w:rsidR="0012154E" w:rsidRPr="00D63069" w:rsidRDefault="001E6835" w:rsidP="0012154E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0.657</w:t>
            </w:r>
          </w:p>
        </w:tc>
      </w:tr>
    </w:tbl>
    <w:p w14:paraId="0130A230" w14:textId="6A618480" w:rsidR="00F544CD" w:rsidRPr="00F544CD" w:rsidRDefault="00F544CD" w:rsidP="00F544CD">
      <w:pPr>
        <w:pStyle w:val="Heading2"/>
        <w:spacing w:before="240" w:after="120" w:line="240" w:lineRule="auto"/>
        <w:ind w:left="720" w:hanging="720"/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</w:pPr>
      <w:r w:rsidRPr="00F544CD"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 xml:space="preserve">Hypothetical example </w:t>
      </w:r>
    </w:p>
    <w:p w14:paraId="19A88A82" w14:textId="744FCBB9" w:rsidR="00F544CD" w:rsidRDefault="00F544CD" w:rsidP="00F544CD">
      <w:pPr>
        <w:keepNext/>
        <w:keepLines/>
        <w:shd w:val="clear" w:color="auto" w:fill="FFFFFF" w:themeFill="background1"/>
        <w:spacing w:line="240" w:lineRule="auto"/>
      </w:pPr>
      <w:r>
        <w:t>Assume there are two facilities in a sector</w:t>
      </w:r>
      <w:r w:rsidR="002D350C">
        <w:t xml:space="preserve"> and they produce equal quantities of </w:t>
      </w:r>
      <w:r w:rsidR="005A227A">
        <w:t>a particular product</w:t>
      </w:r>
      <w:r w:rsidR="00BF12BF">
        <w:t>:</w:t>
      </w:r>
    </w:p>
    <w:p w14:paraId="37492D26" w14:textId="35AF3CC9" w:rsidR="002D350C" w:rsidRDefault="00F544CD" w:rsidP="00F544CD">
      <w:pPr>
        <w:pStyle w:val="ListParagraph"/>
        <w:keepNext/>
        <w:keepLines/>
        <w:numPr>
          <w:ilvl w:val="0"/>
          <w:numId w:val="13"/>
        </w:numPr>
        <w:shd w:val="clear" w:color="auto" w:fill="FFFFFF" w:themeFill="background1"/>
        <w:spacing w:line="240" w:lineRule="auto"/>
        <w:ind w:left="426" w:hanging="426"/>
        <w:contextualSpacing w:val="0"/>
      </w:pPr>
      <w:r w:rsidRPr="002D350C">
        <w:rPr>
          <w:b/>
        </w:rPr>
        <w:t>Facility A</w:t>
      </w:r>
      <w:r>
        <w:t xml:space="preserve">: </w:t>
      </w:r>
      <w:r w:rsidR="002D350C">
        <w:t>has a site-specific emissions-intensity value of 0.</w:t>
      </w:r>
      <w:r w:rsidR="000A1648">
        <w:t>8</w:t>
      </w:r>
      <w:r w:rsidR="002D350C">
        <w:t xml:space="preserve"> tonnes </w:t>
      </w:r>
      <w:r w:rsidR="002D350C" w:rsidRPr="00B83BF6">
        <w:t>CO</w:t>
      </w:r>
      <w:r w:rsidR="002D350C" w:rsidRPr="00B83BF6">
        <w:rPr>
          <w:vertAlign w:val="subscript"/>
        </w:rPr>
        <w:t>2</w:t>
      </w:r>
      <w:r w:rsidR="002D350C" w:rsidRPr="00B83BF6">
        <w:noBreakHyphen/>
        <w:t>e</w:t>
      </w:r>
      <w:r w:rsidR="002D350C">
        <w:t xml:space="preserve"> per tonne of </w:t>
      </w:r>
      <w:r w:rsidR="005A227A">
        <w:t>product</w:t>
      </w:r>
      <w:r w:rsidR="002D350C">
        <w:t>.</w:t>
      </w:r>
    </w:p>
    <w:p w14:paraId="1658278B" w14:textId="22E6AFD5" w:rsidR="00F544CD" w:rsidRDefault="00F544CD" w:rsidP="00F544CD">
      <w:pPr>
        <w:pStyle w:val="ListParagraph"/>
        <w:keepNext/>
        <w:keepLines/>
        <w:numPr>
          <w:ilvl w:val="0"/>
          <w:numId w:val="13"/>
        </w:numPr>
        <w:shd w:val="clear" w:color="auto" w:fill="FFFFFF" w:themeFill="background1"/>
        <w:spacing w:line="240" w:lineRule="auto"/>
        <w:ind w:left="426" w:hanging="426"/>
        <w:contextualSpacing w:val="0"/>
      </w:pPr>
      <w:r w:rsidRPr="002D350C">
        <w:rPr>
          <w:b/>
        </w:rPr>
        <w:t>Facility B</w:t>
      </w:r>
      <w:r>
        <w:t>:</w:t>
      </w:r>
      <w:r w:rsidR="002D350C">
        <w:t xml:space="preserve"> has a site-specifi</w:t>
      </w:r>
      <w:r w:rsidR="00E81F2B">
        <w:t>c emissions-intensity value of 1</w:t>
      </w:r>
      <w:r w:rsidR="002D350C">
        <w:t>.</w:t>
      </w:r>
      <w:r w:rsidR="000A1648">
        <w:t>2</w:t>
      </w:r>
      <w:r w:rsidR="002D350C">
        <w:t xml:space="preserve"> tonnes </w:t>
      </w:r>
      <w:r w:rsidR="002D350C" w:rsidRPr="00B83BF6">
        <w:t>CO</w:t>
      </w:r>
      <w:r w:rsidR="002D350C" w:rsidRPr="00B83BF6">
        <w:rPr>
          <w:vertAlign w:val="subscript"/>
        </w:rPr>
        <w:t>2</w:t>
      </w:r>
      <w:r w:rsidR="002D350C" w:rsidRPr="00B83BF6">
        <w:noBreakHyphen/>
        <w:t>e</w:t>
      </w:r>
      <w:r w:rsidR="002D350C">
        <w:t xml:space="preserve"> per tonne of </w:t>
      </w:r>
      <w:r w:rsidR="005A227A">
        <w:t>product</w:t>
      </w:r>
      <w:r w:rsidR="000504E2">
        <w:t>.</w:t>
      </w:r>
    </w:p>
    <w:p w14:paraId="02400442" w14:textId="61EFC74E" w:rsidR="002D350C" w:rsidRDefault="002D350C" w:rsidP="00F544CD">
      <w:pPr>
        <w:pStyle w:val="ListParagraph"/>
        <w:keepNext/>
        <w:keepLines/>
        <w:numPr>
          <w:ilvl w:val="0"/>
          <w:numId w:val="13"/>
        </w:numPr>
        <w:shd w:val="clear" w:color="auto" w:fill="FFFFFF" w:themeFill="background1"/>
        <w:spacing w:line="240" w:lineRule="auto"/>
        <w:ind w:left="426" w:hanging="426"/>
        <w:contextualSpacing w:val="0"/>
      </w:pPr>
      <w:r w:rsidRPr="002D350C">
        <w:rPr>
          <w:b/>
        </w:rPr>
        <w:t>Industry average</w:t>
      </w:r>
      <w:r>
        <w:t xml:space="preserve">: </w:t>
      </w:r>
      <w:r w:rsidR="00966274">
        <w:t>E</w:t>
      </w:r>
      <w:r>
        <w:t xml:space="preserve">ach </w:t>
      </w:r>
      <w:r w:rsidR="00966274">
        <w:t xml:space="preserve">facility </w:t>
      </w:r>
      <w:r>
        <w:t>produce</w:t>
      </w:r>
      <w:r w:rsidR="00966274">
        <w:t>s</w:t>
      </w:r>
      <w:r>
        <w:t xml:space="preserve"> </w:t>
      </w:r>
      <w:r w:rsidR="00C549A3">
        <w:t>250,000 tonnes of</w:t>
      </w:r>
      <w:r>
        <w:t xml:space="preserve"> </w:t>
      </w:r>
      <w:r w:rsidR="005A227A">
        <w:t>product</w:t>
      </w:r>
      <w:r>
        <w:t xml:space="preserve"> </w:t>
      </w:r>
      <w:r w:rsidR="000949C4">
        <w:t>per year</w:t>
      </w:r>
      <w:r>
        <w:t>, so the production-weighted, industry</w:t>
      </w:r>
      <w:r>
        <w:noBreakHyphen/>
        <w:t>average emissions</w:t>
      </w:r>
      <w:r w:rsidR="000949C4">
        <w:t>-</w:t>
      </w:r>
      <w:r>
        <w:t xml:space="preserve">intensity value is 1 tonne </w:t>
      </w:r>
      <w:r w:rsidRPr="00B83BF6">
        <w:t>CO</w:t>
      </w:r>
      <w:r w:rsidRPr="00B83BF6">
        <w:rPr>
          <w:vertAlign w:val="subscript"/>
        </w:rPr>
        <w:t>2</w:t>
      </w:r>
      <w:r w:rsidRPr="00B83BF6">
        <w:noBreakHyphen/>
        <w:t>e</w:t>
      </w:r>
      <w:r>
        <w:t xml:space="preserve"> per tonne of </w:t>
      </w:r>
      <w:r w:rsidR="005A227A">
        <w:t>product</w:t>
      </w:r>
      <w:r>
        <w:t>.</w:t>
      </w:r>
    </w:p>
    <w:p w14:paraId="14E12FE5" w14:textId="77777777" w:rsidR="00AD38BD" w:rsidRPr="001F0494" w:rsidRDefault="00AD38BD" w:rsidP="00AD38BD">
      <w:pPr>
        <w:pStyle w:val="Heading2"/>
        <w:spacing w:before="0" w:after="120" w:line="240" w:lineRule="auto"/>
        <w:ind w:left="720" w:hanging="720"/>
        <w:rPr>
          <w:rFonts w:ascii="Calibri" w:eastAsiaTheme="minorEastAsia" w:hAnsi="Calibri" w:cstheme="minorBidi"/>
          <w:bCs/>
          <w:i/>
          <w:color w:val="197C7D"/>
          <w:sz w:val="24"/>
          <w:szCs w:val="24"/>
          <w:lang w:eastAsia="ja-JP"/>
        </w:rPr>
      </w:pPr>
      <w:r>
        <w:rPr>
          <w:rFonts w:ascii="Calibri" w:eastAsiaTheme="minorEastAsia" w:hAnsi="Calibri" w:cstheme="minorBidi"/>
          <w:bCs/>
          <w:i/>
          <w:color w:val="197C7D"/>
          <w:sz w:val="24"/>
          <w:szCs w:val="24"/>
          <w:lang w:eastAsia="ja-JP"/>
        </w:rPr>
        <w:t>The hybrid model</w:t>
      </w:r>
    </w:p>
    <w:p w14:paraId="0DC50222" w14:textId="6226C7C2" w:rsidR="00A74F06" w:rsidRDefault="00BB09E0" w:rsidP="00A74F06">
      <w:pPr>
        <w:keepNext/>
        <w:keepLines/>
        <w:shd w:val="clear" w:color="auto" w:fill="FFFFFF" w:themeFill="background1"/>
        <w:spacing w:line="240" w:lineRule="auto"/>
      </w:pPr>
      <w:r>
        <w:t xml:space="preserve">Using the hybrid baseline setting approach, </w:t>
      </w:r>
      <w:r w:rsidR="005E7BBC">
        <w:t>the emissions-intensity values for facilit</w:t>
      </w:r>
      <w:r w:rsidR="00966274">
        <w:t>ies</w:t>
      </w:r>
      <w:r w:rsidR="005E7BBC">
        <w:t xml:space="preserve"> A and B will start close to their current performance and converge to indus</w:t>
      </w:r>
      <w:r w:rsidR="00584D4C">
        <w:t>try average by 2030 (see table 3</w:t>
      </w:r>
      <w:r w:rsidR="005E7BBC">
        <w:t xml:space="preserve">). </w:t>
      </w:r>
    </w:p>
    <w:p w14:paraId="707DA2B4" w14:textId="04CA4F26" w:rsidR="00C43FCD" w:rsidRPr="00A201DC" w:rsidRDefault="00584D4C" w:rsidP="00C43FCD">
      <w:pPr>
        <w:shd w:val="clear" w:color="auto" w:fill="FFFFFF" w:themeFill="background1"/>
        <w:spacing w:after="140" w:line="240" w:lineRule="exact"/>
        <w:rPr>
          <w:i/>
          <w:color w:val="2E74B5" w:themeColor="accent1" w:themeShade="BF"/>
        </w:rPr>
      </w:pPr>
      <w:r w:rsidRPr="00A201DC">
        <w:rPr>
          <w:i/>
          <w:color w:val="2E74B5" w:themeColor="accent1" w:themeShade="BF"/>
        </w:rPr>
        <w:t>Table 3</w:t>
      </w:r>
      <w:r w:rsidR="00C43FCD" w:rsidRPr="00A201DC">
        <w:rPr>
          <w:i/>
          <w:color w:val="2E74B5" w:themeColor="accent1" w:themeShade="BF"/>
        </w:rPr>
        <w:t xml:space="preserve">: </w:t>
      </w:r>
      <w:r w:rsidR="00A74F06" w:rsidRPr="00A201DC">
        <w:rPr>
          <w:i/>
          <w:color w:val="2E74B5" w:themeColor="accent1" w:themeShade="BF"/>
        </w:rPr>
        <w:t>Emissions-intensity values for Facilit</w:t>
      </w:r>
      <w:r w:rsidR="00966274">
        <w:rPr>
          <w:i/>
          <w:color w:val="2E74B5" w:themeColor="accent1" w:themeShade="BF"/>
        </w:rPr>
        <w:t>ies</w:t>
      </w:r>
      <w:r w:rsidR="00A74F06" w:rsidRPr="00A201DC">
        <w:rPr>
          <w:i/>
          <w:color w:val="2E74B5" w:themeColor="accent1" w:themeShade="BF"/>
        </w:rPr>
        <w:t xml:space="preserve"> A and B using the hybrid model</w:t>
      </w: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2117"/>
        <w:gridCol w:w="998"/>
        <w:gridCol w:w="991"/>
        <w:gridCol w:w="997"/>
        <w:gridCol w:w="992"/>
        <w:gridCol w:w="991"/>
        <w:gridCol w:w="991"/>
        <w:gridCol w:w="1033"/>
      </w:tblGrid>
      <w:tr w:rsidR="00C43FCD" w:rsidRPr="001A184A" w14:paraId="654C77FB" w14:textId="77777777" w:rsidTr="000A1648">
        <w:tc>
          <w:tcPr>
            <w:tcW w:w="2117" w:type="dxa"/>
            <w:shd w:val="clear" w:color="auto" w:fill="DEEAF6" w:themeFill="accent1" w:themeFillTint="33"/>
          </w:tcPr>
          <w:p w14:paraId="1ED7D013" w14:textId="77777777" w:rsidR="00C43FCD" w:rsidRPr="001A184A" w:rsidRDefault="00C43FCD" w:rsidP="00C003BE">
            <w:pPr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14:paraId="585625F8" w14:textId="77777777" w:rsidR="00C43FCD" w:rsidRPr="001A184A" w:rsidRDefault="00C43FCD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2023-24</w:t>
            </w:r>
          </w:p>
        </w:tc>
        <w:tc>
          <w:tcPr>
            <w:tcW w:w="991" w:type="dxa"/>
            <w:shd w:val="clear" w:color="auto" w:fill="DEEAF6" w:themeFill="accent1" w:themeFillTint="33"/>
            <w:vAlign w:val="center"/>
          </w:tcPr>
          <w:p w14:paraId="7BFB765A" w14:textId="77777777" w:rsidR="00C43FCD" w:rsidRPr="001A184A" w:rsidRDefault="00C43FCD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2024-25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</w:tcPr>
          <w:p w14:paraId="78F86409" w14:textId="77777777" w:rsidR="00C43FCD" w:rsidRPr="001A184A" w:rsidRDefault="00C43FCD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2025-26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C22AB85" w14:textId="77777777" w:rsidR="00C43FCD" w:rsidRPr="001A184A" w:rsidRDefault="00C43FCD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2026-27</w:t>
            </w:r>
          </w:p>
        </w:tc>
        <w:tc>
          <w:tcPr>
            <w:tcW w:w="991" w:type="dxa"/>
            <w:shd w:val="clear" w:color="auto" w:fill="DEEAF6" w:themeFill="accent1" w:themeFillTint="33"/>
            <w:vAlign w:val="center"/>
          </w:tcPr>
          <w:p w14:paraId="091B1012" w14:textId="77777777" w:rsidR="00C43FCD" w:rsidRPr="001A184A" w:rsidRDefault="00C43FCD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2027-28</w:t>
            </w:r>
          </w:p>
        </w:tc>
        <w:tc>
          <w:tcPr>
            <w:tcW w:w="991" w:type="dxa"/>
            <w:shd w:val="clear" w:color="auto" w:fill="DEEAF6" w:themeFill="accent1" w:themeFillTint="33"/>
            <w:vAlign w:val="center"/>
          </w:tcPr>
          <w:p w14:paraId="6E4434AA" w14:textId="77777777" w:rsidR="00C43FCD" w:rsidRPr="001A184A" w:rsidRDefault="00C43FCD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2028-29</w:t>
            </w:r>
          </w:p>
        </w:tc>
        <w:tc>
          <w:tcPr>
            <w:tcW w:w="1033" w:type="dxa"/>
            <w:shd w:val="clear" w:color="auto" w:fill="DEEAF6" w:themeFill="accent1" w:themeFillTint="33"/>
            <w:vAlign w:val="center"/>
          </w:tcPr>
          <w:p w14:paraId="49A54B74" w14:textId="77777777" w:rsidR="00C43FCD" w:rsidRPr="001A184A" w:rsidRDefault="00C43FCD" w:rsidP="00C003BE">
            <w:pPr>
              <w:keepLines/>
              <w:spacing w:before="60" w:after="60"/>
              <w:jc w:val="center"/>
            </w:pPr>
            <w:r w:rsidRPr="001A184A">
              <w:rPr>
                <w:rFonts w:ascii="Calibri" w:hAnsi="Calibri" w:cs="Calibri"/>
              </w:rPr>
              <w:t>2029-30</w:t>
            </w:r>
          </w:p>
        </w:tc>
      </w:tr>
      <w:tr w:rsidR="000A1648" w14:paraId="61C5169F" w14:textId="77777777" w:rsidTr="00250C90">
        <w:tc>
          <w:tcPr>
            <w:tcW w:w="2117" w:type="dxa"/>
          </w:tcPr>
          <w:p w14:paraId="41A3C607" w14:textId="09B1E404" w:rsidR="000A1648" w:rsidRPr="001A184A" w:rsidRDefault="000A1648" w:rsidP="000A1648">
            <w:pPr>
              <w:keepLines/>
              <w:spacing w:before="60" w:after="60"/>
            </w:pPr>
            <w:r>
              <w:t xml:space="preserve">Facility A </w:t>
            </w:r>
          </w:p>
        </w:tc>
        <w:tc>
          <w:tcPr>
            <w:tcW w:w="998" w:type="dxa"/>
          </w:tcPr>
          <w:p w14:paraId="42F0DF52" w14:textId="46BDEB47" w:rsidR="000A1648" w:rsidRPr="00E42ABA" w:rsidRDefault="000A1648" w:rsidP="000A1648">
            <w:pPr>
              <w:keepLines/>
              <w:spacing w:before="60" w:after="60"/>
              <w:jc w:val="center"/>
            </w:pPr>
            <w:r w:rsidRPr="00C16950">
              <w:t>0.82</w:t>
            </w:r>
          </w:p>
        </w:tc>
        <w:tc>
          <w:tcPr>
            <w:tcW w:w="991" w:type="dxa"/>
          </w:tcPr>
          <w:p w14:paraId="2DB43265" w14:textId="7EF7EADD" w:rsidR="000A1648" w:rsidRPr="00E42ABA" w:rsidRDefault="000A1648" w:rsidP="000A1648">
            <w:pPr>
              <w:keepLines/>
              <w:spacing w:before="60" w:after="60"/>
              <w:jc w:val="center"/>
            </w:pPr>
            <w:r w:rsidRPr="00C16950">
              <w:t>0.84</w:t>
            </w:r>
          </w:p>
        </w:tc>
        <w:tc>
          <w:tcPr>
            <w:tcW w:w="997" w:type="dxa"/>
          </w:tcPr>
          <w:p w14:paraId="74FE0BDA" w14:textId="07FA2BF5" w:rsidR="000A1648" w:rsidRPr="00E42ABA" w:rsidRDefault="000A1648" w:rsidP="000A1648">
            <w:pPr>
              <w:keepLines/>
              <w:spacing w:before="60" w:after="60"/>
              <w:jc w:val="center"/>
            </w:pPr>
            <w:r w:rsidRPr="00C16950">
              <w:t>0.86</w:t>
            </w:r>
          </w:p>
        </w:tc>
        <w:tc>
          <w:tcPr>
            <w:tcW w:w="992" w:type="dxa"/>
          </w:tcPr>
          <w:p w14:paraId="5119AF1E" w14:textId="2374F94C" w:rsidR="000A1648" w:rsidRPr="00E42ABA" w:rsidRDefault="000A1648" w:rsidP="000A1648">
            <w:pPr>
              <w:keepLines/>
              <w:spacing w:before="60" w:after="60"/>
              <w:jc w:val="center"/>
            </w:pPr>
            <w:r w:rsidRPr="00C16950">
              <w:t>0.88</w:t>
            </w:r>
          </w:p>
        </w:tc>
        <w:tc>
          <w:tcPr>
            <w:tcW w:w="991" w:type="dxa"/>
          </w:tcPr>
          <w:p w14:paraId="615FF4BA" w14:textId="598CA14A" w:rsidR="000A1648" w:rsidRPr="00E42ABA" w:rsidRDefault="000A1648" w:rsidP="000A1648">
            <w:pPr>
              <w:keepLines/>
              <w:spacing w:before="60" w:after="60"/>
              <w:jc w:val="center"/>
            </w:pPr>
            <w:r w:rsidRPr="00C16950">
              <w:t>0.92</w:t>
            </w:r>
          </w:p>
        </w:tc>
        <w:tc>
          <w:tcPr>
            <w:tcW w:w="991" w:type="dxa"/>
          </w:tcPr>
          <w:p w14:paraId="393C73D0" w14:textId="03147512" w:rsidR="000A1648" w:rsidRPr="00E42ABA" w:rsidRDefault="000A1648" w:rsidP="000A1648">
            <w:pPr>
              <w:keepLines/>
              <w:spacing w:before="60" w:after="60"/>
              <w:jc w:val="center"/>
            </w:pPr>
            <w:r w:rsidRPr="00C16950">
              <w:t>0.96</w:t>
            </w:r>
          </w:p>
        </w:tc>
        <w:tc>
          <w:tcPr>
            <w:tcW w:w="1033" w:type="dxa"/>
            <w:vAlign w:val="center"/>
          </w:tcPr>
          <w:p w14:paraId="5F33D025" w14:textId="5E37C48D" w:rsidR="000A1648" w:rsidRPr="00E42ABA" w:rsidRDefault="000A1648" w:rsidP="000A1648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0A1648" w14:paraId="3A1753DB" w14:textId="77777777" w:rsidTr="00250C90">
        <w:tc>
          <w:tcPr>
            <w:tcW w:w="2117" w:type="dxa"/>
          </w:tcPr>
          <w:p w14:paraId="6101C347" w14:textId="3A25A4AF" w:rsidR="000A1648" w:rsidRDefault="000A1648" w:rsidP="000A1648">
            <w:pPr>
              <w:keepLines/>
              <w:spacing w:before="60" w:after="60"/>
            </w:pPr>
            <w:r>
              <w:t>Facility B</w:t>
            </w:r>
          </w:p>
        </w:tc>
        <w:tc>
          <w:tcPr>
            <w:tcW w:w="998" w:type="dxa"/>
          </w:tcPr>
          <w:p w14:paraId="1BAD5BC1" w14:textId="42DBD735" w:rsidR="000A1648" w:rsidRPr="00E42ABA" w:rsidRDefault="000A1648" w:rsidP="000A1648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64328">
              <w:t>1.18</w:t>
            </w:r>
          </w:p>
        </w:tc>
        <w:tc>
          <w:tcPr>
            <w:tcW w:w="991" w:type="dxa"/>
          </w:tcPr>
          <w:p w14:paraId="64A5B03C" w14:textId="06DBD16B" w:rsidR="000A1648" w:rsidRPr="00E42ABA" w:rsidRDefault="000A1648" w:rsidP="000A1648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64328">
              <w:t>1.16</w:t>
            </w:r>
          </w:p>
        </w:tc>
        <w:tc>
          <w:tcPr>
            <w:tcW w:w="997" w:type="dxa"/>
          </w:tcPr>
          <w:p w14:paraId="4366E5AF" w14:textId="39FDB317" w:rsidR="000A1648" w:rsidRPr="00E42ABA" w:rsidRDefault="000A1648" w:rsidP="000A1648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64328">
              <w:t>1.14</w:t>
            </w:r>
          </w:p>
        </w:tc>
        <w:tc>
          <w:tcPr>
            <w:tcW w:w="992" w:type="dxa"/>
          </w:tcPr>
          <w:p w14:paraId="5D863607" w14:textId="54CC3C31" w:rsidR="000A1648" w:rsidRPr="00E42ABA" w:rsidRDefault="000A1648" w:rsidP="000A1648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64328">
              <w:t>1.12</w:t>
            </w:r>
          </w:p>
        </w:tc>
        <w:tc>
          <w:tcPr>
            <w:tcW w:w="991" w:type="dxa"/>
          </w:tcPr>
          <w:p w14:paraId="00D38104" w14:textId="3A2DFE8A" w:rsidR="000A1648" w:rsidRPr="00E42ABA" w:rsidRDefault="000A1648" w:rsidP="000A1648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64328">
              <w:t>1.08</w:t>
            </w:r>
          </w:p>
        </w:tc>
        <w:tc>
          <w:tcPr>
            <w:tcW w:w="991" w:type="dxa"/>
          </w:tcPr>
          <w:p w14:paraId="4D091B18" w14:textId="118ACCB4" w:rsidR="000A1648" w:rsidRPr="00E42ABA" w:rsidRDefault="000A1648" w:rsidP="000A1648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64328">
              <w:t>1.04</w:t>
            </w:r>
          </w:p>
        </w:tc>
        <w:tc>
          <w:tcPr>
            <w:tcW w:w="1033" w:type="dxa"/>
          </w:tcPr>
          <w:p w14:paraId="71613ABD" w14:textId="14DBBD55" w:rsidR="000A1648" w:rsidRPr="00E42ABA" w:rsidRDefault="000A1648" w:rsidP="000A1648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64328">
              <w:t>1.00</w:t>
            </w:r>
          </w:p>
        </w:tc>
      </w:tr>
    </w:tbl>
    <w:p w14:paraId="4B375CBC" w14:textId="77777777" w:rsidR="00C43FCD" w:rsidRDefault="00C43FCD" w:rsidP="005E7BBC">
      <w:pPr>
        <w:keepNext/>
        <w:keepLines/>
        <w:shd w:val="clear" w:color="auto" w:fill="FFFFFF" w:themeFill="background1"/>
        <w:spacing w:after="0" w:line="240" w:lineRule="auto"/>
      </w:pPr>
    </w:p>
    <w:p w14:paraId="40676718" w14:textId="0C4ABC19" w:rsidR="00D467D7" w:rsidRDefault="00D467D7" w:rsidP="00D74910">
      <w:pPr>
        <w:keepLines/>
        <w:shd w:val="clear" w:color="auto" w:fill="FFFFFF" w:themeFill="background1"/>
        <w:spacing w:line="240" w:lineRule="auto"/>
      </w:pPr>
      <w:r>
        <w:t xml:space="preserve">Figure 1 </w:t>
      </w:r>
      <w:r w:rsidR="00966274">
        <w:t>shows</w:t>
      </w:r>
      <w:r>
        <w:t xml:space="preserve"> that the hybrid model introduces </w:t>
      </w:r>
      <w:r w:rsidR="0045349A">
        <w:t xml:space="preserve">the </w:t>
      </w:r>
      <w:r>
        <w:t>costs and benefits</w:t>
      </w:r>
      <w:r w:rsidR="0045349A">
        <w:t xml:space="preserve"> of Safeguard Mechanism reforms</w:t>
      </w:r>
      <w:r>
        <w:t xml:space="preserve"> in manageable increments. </w:t>
      </w:r>
      <w:r w:rsidR="00AD38BD">
        <w:t>Before the decline factor is applied</w:t>
      </w:r>
      <w:r w:rsidR="00584D4C">
        <w:t>,</w:t>
      </w:r>
      <w:r>
        <w:t xml:space="preserve"> </w:t>
      </w:r>
      <w:r w:rsidR="00E81F2B">
        <w:t xml:space="preserve">the credits generated at facility </w:t>
      </w:r>
      <w:r w:rsidR="000949C4">
        <w:t xml:space="preserve">A </w:t>
      </w:r>
      <w:r w:rsidR="00E81F2B">
        <w:t>match</w:t>
      </w:r>
      <w:r w:rsidR="000949C4">
        <w:t>es</w:t>
      </w:r>
      <w:r w:rsidR="00E81F2B">
        <w:t xml:space="preserve"> the </w:t>
      </w:r>
      <w:r>
        <w:t>exceedance</w:t>
      </w:r>
      <w:r w:rsidR="00E81F2B">
        <w:t xml:space="preserve"> at facility B. </w:t>
      </w:r>
      <w:r>
        <w:t xml:space="preserve">Demand for SMCs matches supply, so </w:t>
      </w:r>
      <w:r w:rsidR="00584D4C">
        <w:t xml:space="preserve">there is </w:t>
      </w:r>
      <w:r w:rsidR="00584D4C" w:rsidRPr="00D74910">
        <w:t>no change</w:t>
      </w:r>
      <w:r w:rsidR="00584D4C">
        <w:t xml:space="preserve"> in aggregate Safeguard Mechanism emissions</w:t>
      </w:r>
      <w:r>
        <w:t xml:space="preserve">. </w:t>
      </w:r>
    </w:p>
    <w:p w14:paraId="79CF5595" w14:textId="219D531F" w:rsidR="000949C4" w:rsidRPr="00A201DC" w:rsidRDefault="000949C4" w:rsidP="003973AF">
      <w:pPr>
        <w:keepNext/>
        <w:shd w:val="clear" w:color="auto" w:fill="FFFFFF" w:themeFill="background1"/>
        <w:spacing w:after="140" w:line="240" w:lineRule="exact"/>
        <w:rPr>
          <w:i/>
          <w:color w:val="2E74B5" w:themeColor="accent1" w:themeShade="BF"/>
        </w:rPr>
      </w:pPr>
      <w:r w:rsidRPr="00A201DC">
        <w:rPr>
          <w:i/>
          <w:color w:val="2E74B5" w:themeColor="accent1" w:themeShade="BF"/>
        </w:rPr>
        <w:t xml:space="preserve">Figure 1: </w:t>
      </w:r>
      <w:r w:rsidR="00E242FD">
        <w:rPr>
          <w:i/>
          <w:color w:val="2E74B5" w:themeColor="accent1" w:themeShade="BF"/>
        </w:rPr>
        <w:t xml:space="preserve">Hybrid baselines, before decline </w:t>
      </w:r>
      <w:r w:rsidR="00584D4C" w:rsidRPr="00A201DC">
        <w:rPr>
          <w:i/>
          <w:color w:val="2E74B5" w:themeColor="accent1" w:themeShade="BF"/>
        </w:rPr>
        <w:t xml:space="preserve">factor </w:t>
      </w:r>
    </w:p>
    <w:p w14:paraId="0496029F" w14:textId="02F87781" w:rsidR="00E81F2B" w:rsidRDefault="00250C90" w:rsidP="00D74910">
      <w:pPr>
        <w:keepLines/>
        <w:shd w:val="clear" w:color="auto" w:fill="FFFFFF" w:themeFill="background1"/>
        <w:spacing w:line="240" w:lineRule="auto"/>
        <w:jc w:val="center"/>
      </w:pPr>
      <w:r>
        <w:rPr>
          <w:noProof/>
          <w:lang w:eastAsia="en-AU"/>
        </w:rPr>
        <w:drawing>
          <wp:inline distT="0" distB="0" distL="0" distR="0" wp14:anchorId="6F28C3A9" wp14:editId="37F0D91B">
            <wp:extent cx="4584700" cy="271272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0661C" w14:textId="118B7F91" w:rsidR="00584D4C" w:rsidRPr="001F0494" w:rsidRDefault="00584D4C" w:rsidP="001F0494">
      <w:pPr>
        <w:pStyle w:val="Heading2"/>
        <w:spacing w:before="0" w:after="120" w:line="240" w:lineRule="auto"/>
        <w:ind w:left="720" w:hanging="720"/>
        <w:rPr>
          <w:rFonts w:ascii="Calibri" w:eastAsiaTheme="minorEastAsia" w:hAnsi="Calibri" w:cstheme="minorBidi"/>
          <w:bCs/>
          <w:i/>
          <w:color w:val="197C7D"/>
          <w:sz w:val="24"/>
          <w:szCs w:val="24"/>
          <w:lang w:eastAsia="ja-JP"/>
        </w:rPr>
      </w:pPr>
      <w:r w:rsidRPr="001F0494">
        <w:rPr>
          <w:rFonts w:ascii="Calibri" w:eastAsiaTheme="minorEastAsia" w:hAnsi="Calibri" w:cstheme="minorBidi"/>
          <w:bCs/>
          <w:i/>
          <w:color w:val="197C7D"/>
          <w:sz w:val="24"/>
          <w:szCs w:val="24"/>
          <w:lang w:eastAsia="ja-JP"/>
        </w:rPr>
        <w:t>Reducing emissio</w:t>
      </w:r>
      <w:r w:rsidR="0001066E">
        <w:rPr>
          <w:rFonts w:ascii="Calibri" w:eastAsiaTheme="minorEastAsia" w:hAnsi="Calibri" w:cstheme="minorBidi"/>
          <w:bCs/>
          <w:i/>
          <w:color w:val="197C7D"/>
          <w:sz w:val="24"/>
          <w:szCs w:val="24"/>
          <w:lang w:eastAsia="ja-JP"/>
        </w:rPr>
        <w:t>ns</w:t>
      </w:r>
    </w:p>
    <w:p w14:paraId="2068CA35" w14:textId="65E638A9" w:rsidR="00D467D7" w:rsidRDefault="00584D4C" w:rsidP="00A201DC">
      <w:pPr>
        <w:keepLines/>
        <w:shd w:val="clear" w:color="auto" w:fill="FFFFFF" w:themeFill="background1"/>
        <w:spacing w:line="240" w:lineRule="auto"/>
      </w:pPr>
      <w:r>
        <w:t>The Safeguard Mechanism will</w:t>
      </w:r>
      <w:r w:rsidR="001E6835">
        <w:t xml:space="preserve"> reduce emissions by applying a</w:t>
      </w:r>
      <w:r w:rsidR="00A201DC">
        <w:t xml:space="preserve"> </w:t>
      </w:r>
      <w:r w:rsidR="001E6835">
        <w:t>decline</w:t>
      </w:r>
      <w:r w:rsidR="00A201DC">
        <w:t xml:space="preserve"> factor t</w:t>
      </w:r>
      <w:r w:rsidR="00E242FD">
        <w:t xml:space="preserve">o </w:t>
      </w:r>
      <w:r>
        <w:t xml:space="preserve">individual facility baselines. </w:t>
      </w:r>
      <w:r w:rsidR="00D467D7">
        <w:t xml:space="preserve">Figure 2 illustrates how supply and demand for SMCs </w:t>
      </w:r>
      <w:r w:rsidR="0045349A">
        <w:t>changes</w:t>
      </w:r>
      <w:r>
        <w:t xml:space="preserve"> as baselines </w:t>
      </w:r>
      <w:r w:rsidR="00A201DC">
        <w:t>fall by 4.9</w:t>
      </w:r>
      <w:r w:rsidR="00966274">
        <w:t>%</w:t>
      </w:r>
      <w:r w:rsidR="00A201DC">
        <w:t xml:space="preserve"> each year</w:t>
      </w:r>
      <w:r>
        <w:t xml:space="preserve">. </w:t>
      </w:r>
    </w:p>
    <w:p w14:paraId="1D580E2C" w14:textId="38CE8EE7" w:rsidR="00D467D7" w:rsidRPr="00A201DC" w:rsidRDefault="00D467D7" w:rsidP="00D467D7">
      <w:pPr>
        <w:keepNext/>
        <w:shd w:val="clear" w:color="auto" w:fill="FFFFFF" w:themeFill="background1"/>
        <w:spacing w:after="140" w:line="240" w:lineRule="exact"/>
        <w:rPr>
          <w:i/>
          <w:color w:val="2E74B5" w:themeColor="accent1" w:themeShade="BF"/>
        </w:rPr>
      </w:pPr>
      <w:r w:rsidRPr="00A201DC">
        <w:rPr>
          <w:i/>
          <w:color w:val="2E74B5" w:themeColor="accent1" w:themeShade="BF"/>
        </w:rPr>
        <w:t>Figure 2: Illustrating the impact of baseline decline</w:t>
      </w:r>
    </w:p>
    <w:p w14:paraId="3A2C5546" w14:textId="72362A7B" w:rsidR="001D013A" w:rsidRDefault="00250C90" w:rsidP="00D74910">
      <w:pPr>
        <w:keepLines/>
        <w:jc w:val="center"/>
      </w:pPr>
      <w:r>
        <w:rPr>
          <w:noProof/>
          <w:lang w:eastAsia="en-AU"/>
        </w:rPr>
        <w:drawing>
          <wp:inline distT="0" distB="0" distL="0" distR="0" wp14:anchorId="3AD9AE7F" wp14:editId="6B122A75">
            <wp:extent cx="4584700" cy="271272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110C1" w14:textId="767C632D" w:rsidR="00A201DC" w:rsidRPr="00584D4C" w:rsidRDefault="00527E38" w:rsidP="00A201DC">
      <w:pPr>
        <w:keepNext/>
        <w:keepLines/>
        <w:shd w:val="clear" w:color="auto" w:fill="FFFFFF" w:themeFill="background1"/>
        <w:spacing w:line="240" w:lineRule="auto"/>
        <w:rPr>
          <w:i/>
          <w:color w:val="4472C4" w:themeColor="accent5"/>
        </w:rPr>
      </w:pPr>
      <w:r>
        <w:lastRenderedPageBreak/>
        <w:t>E</w:t>
      </w:r>
      <w:r w:rsidR="00A201DC">
        <w:t>xceedance at facility B</w:t>
      </w:r>
      <w:r>
        <w:t xml:space="preserve"> has increased in each year, and facility A has an exceedance in each year.</w:t>
      </w:r>
      <w:r w:rsidR="00E242FD">
        <w:t xml:space="preserve"> </w:t>
      </w:r>
      <w:r w:rsidR="00A201DC">
        <w:t xml:space="preserve">The </w:t>
      </w:r>
      <w:r>
        <w:t xml:space="preserve">total </w:t>
      </w:r>
      <w:r w:rsidR="004764A9">
        <w:t xml:space="preserve">net </w:t>
      </w:r>
      <w:r>
        <w:t>exceedance represents the emissions constraint</w:t>
      </w:r>
      <w:r w:rsidR="00A201DC">
        <w:t>. Safeguard facilities can meet this constraint by:</w:t>
      </w:r>
    </w:p>
    <w:p w14:paraId="567C7236" w14:textId="4E825C6E" w:rsidR="00A201DC" w:rsidRDefault="00A201DC" w:rsidP="00A201DC">
      <w:pPr>
        <w:pStyle w:val="ListParagraph"/>
        <w:keepNext/>
        <w:keepLines/>
        <w:numPr>
          <w:ilvl w:val="0"/>
          <w:numId w:val="14"/>
        </w:numPr>
        <w:shd w:val="clear" w:color="auto" w:fill="FFFFFF" w:themeFill="background1"/>
        <w:spacing w:line="240" w:lineRule="auto"/>
        <w:ind w:left="425" w:hanging="425"/>
        <w:contextualSpacing w:val="0"/>
      </w:pPr>
      <w:r>
        <w:t>reducing emissions—which reduces exceedance</w:t>
      </w:r>
      <w:r w:rsidR="00527E38">
        <w:t>s</w:t>
      </w:r>
      <w:r>
        <w:t xml:space="preserve"> at facilit</w:t>
      </w:r>
      <w:r w:rsidR="00527E38">
        <w:t>ies A and</w:t>
      </w:r>
      <w:r>
        <w:t xml:space="preserve"> B</w:t>
      </w:r>
      <w:r w:rsidDel="00527E38">
        <w:t xml:space="preserve"> </w:t>
      </w:r>
      <w:r w:rsidR="003E33CB">
        <w:t xml:space="preserve">and could result in the generation of SMCs if either facility reduces its emissions below its baseline. </w:t>
      </w:r>
    </w:p>
    <w:p w14:paraId="7F3660FF" w14:textId="28AF46FA" w:rsidR="00A201DC" w:rsidRDefault="00966274" w:rsidP="00A201DC">
      <w:pPr>
        <w:pStyle w:val="ListParagraph"/>
        <w:keepNext/>
        <w:keepLines/>
        <w:numPr>
          <w:ilvl w:val="0"/>
          <w:numId w:val="14"/>
        </w:numPr>
        <w:shd w:val="clear" w:color="auto" w:fill="FFFFFF" w:themeFill="background1"/>
        <w:spacing w:line="240" w:lineRule="auto"/>
        <w:ind w:left="425" w:hanging="425"/>
        <w:contextualSpacing w:val="0"/>
      </w:pPr>
      <w:r>
        <w:t>buying</w:t>
      </w:r>
      <w:r w:rsidR="00A201DC">
        <w:t xml:space="preserve"> SMCs—from other Safeguard Mechanism facilities </w:t>
      </w:r>
      <w:r w:rsidR="00C47F85">
        <w:t>with</w:t>
      </w:r>
      <w:r w:rsidR="00A201DC">
        <w:t xml:space="preserve"> emissions </w:t>
      </w:r>
      <w:r w:rsidR="00C47F85">
        <w:t>below</w:t>
      </w:r>
      <w:r w:rsidR="00A201DC">
        <w:t xml:space="preserve"> their baseline</w:t>
      </w:r>
      <w:r w:rsidR="00527E38">
        <w:t xml:space="preserve"> </w:t>
      </w:r>
    </w:p>
    <w:p w14:paraId="674C2D77" w14:textId="0D52410D" w:rsidR="00A201DC" w:rsidRDefault="00966274" w:rsidP="00FB2C02">
      <w:pPr>
        <w:pStyle w:val="ListParagraph"/>
        <w:keepNext/>
        <w:keepLines/>
        <w:numPr>
          <w:ilvl w:val="0"/>
          <w:numId w:val="14"/>
        </w:numPr>
        <w:shd w:val="clear" w:color="auto" w:fill="FFFFFF" w:themeFill="background1"/>
        <w:spacing w:line="240" w:lineRule="auto"/>
        <w:ind w:left="425" w:hanging="425"/>
        <w:contextualSpacing w:val="0"/>
      </w:pPr>
      <w:r>
        <w:t>buying</w:t>
      </w:r>
      <w:r w:rsidR="00A201DC">
        <w:t xml:space="preserve"> domestic carbon offsets—from project</w:t>
      </w:r>
      <w:r w:rsidR="00A201DC">
        <w:noBreakHyphen/>
        <w:t xml:space="preserve">based emissions reductions projects which reduce emissions outside the scheme. </w:t>
      </w:r>
    </w:p>
    <w:p w14:paraId="4E02CFE3" w14:textId="77777777" w:rsidR="00B024C5" w:rsidRPr="001F0494" w:rsidRDefault="00B024C5" w:rsidP="00B024C5">
      <w:pPr>
        <w:pStyle w:val="Heading2"/>
        <w:spacing w:before="0" w:after="120" w:line="240" w:lineRule="auto"/>
        <w:ind w:left="720" w:hanging="720"/>
        <w:rPr>
          <w:rFonts w:ascii="Calibri" w:eastAsiaTheme="minorEastAsia" w:hAnsi="Calibri" w:cstheme="minorBidi"/>
          <w:bCs/>
          <w:i/>
          <w:color w:val="197C7D"/>
          <w:sz w:val="24"/>
          <w:szCs w:val="24"/>
          <w:lang w:eastAsia="ja-JP"/>
        </w:rPr>
      </w:pPr>
      <w:r w:rsidRPr="001F0494">
        <w:rPr>
          <w:rFonts w:ascii="Calibri" w:eastAsiaTheme="minorEastAsia" w:hAnsi="Calibri" w:cstheme="minorBidi"/>
          <w:bCs/>
          <w:i/>
          <w:color w:val="197C7D"/>
          <w:sz w:val="24"/>
          <w:szCs w:val="24"/>
          <w:lang w:eastAsia="ja-JP"/>
        </w:rPr>
        <w:t>Underlying calculations</w:t>
      </w:r>
    </w:p>
    <w:p w14:paraId="5CEE2828" w14:textId="77777777" w:rsidR="00B024C5" w:rsidRPr="00C43FCD" w:rsidRDefault="00B024C5" w:rsidP="00B024C5">
      <w:pPr>
        <w:shd w:val="clear" w:color="auto" w:fill="FFFFFF" w:themeFill="background1"/>
        <w:spacing w:after="140" w:line="240" w:lineRule="exac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Table A1</w:t>
      </w:r>
      <w:r w:rsidRPr="00C43FCD">
        <w:rPr>
          <w:b/>
          <w:color w:val="2E74B5" w:themeColor="accent1" w:themeShade="BF"/>
        </w:rPr>
        <w:t xml:space="preserve">: </w:t>
      </w:r>
      <w:r>
        <w:rPr>
          <w:b/>
          <w:color w:val="2E74B5" w:themeColor="accent1" w:themeShade="BF"/>
        </w:rPr>
        <w:t>Calculation for facility A</w:t>
      </w:r>
    </w:p>
    <w:tbl>
      <w:tblPr>
        <w:tblStyle w:val="TableGrid"/>
        <w:tblW w:w="9672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7"/>
        <w:gridCol w:w="998"/>
        <w:gridCol w:w="997"/>
        <w:gridCol w:w="998"/>
        <w:gridCol w:w="997"/>
        <w:gridCol w:w="998"/>
        <w:gridCol w:w="998"/>
      </w:tblGrid>
      <w:tr w:rsidR="001F3EBC" w14:paraId="0753DACD" w14:textId="77777777" w:rsidTr="001F3E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DD6E92" w14:textId="77777777" w:rsidR="00250C90" w:rsidRDefault="00250C90">
            <w:pPr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E78B6A" w14:textId="77777777" w:rsidR="00250C90" w:rsidRDefault="00250C90">
            <w:pPr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DC3A13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2023-24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AACB935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2024-25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49D29D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2025-26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2198E4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2026-27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F34416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2027-28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87D124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2028-29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6F210E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2029-30</w:t>
            </w:r>
          </w:p>
        </w:tc>
      </w:tr>
      <w:tr w:rsidR="004764A9" w14:paraId="3F69169C" w14:textId="77777777" w:rsidTr="001F3E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8D3E" w14:textId="77777777" w:rsidR="00250C90" w:rsidRDefault="00250C90">
            <w:pPr>
              <w:keepLines/>
              <w:spacing w:before="60" w:after="60"/>
              <w:jc w:val="center"/>
            </w:pPr>
            <w: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041CA" w14:textId="77777777" w:rsidR="00250C90" w:rsidRDefault="00250C90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 xml:space="preserve">Emissions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BA0C" w14:textId="7A20B80E" w:rsidR="00250C90" w:rsidRDefault="00831844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50C90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4C21" w14:textId="5441F7F5" w:rsidR="00250C90" w:rsidRDefault="00831844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50C90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6BCC" w14:textId="01D24A0C" w:rsidR="00250C90" w:rsidRDefault="00831844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50C90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5AD6" w14:textId="7B6F723E" w:rsidR="00250C90" w:rsidRDefault="00831844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50C90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8289" w14:textId="7D7EA417" w:rsidR="00250C90" w:rsidRDefault="00831844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50C90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7D7E" w14:textId="7E6A08F4" w:rsidR="00250C90" w:rsidRDefault="00831844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50C90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0C57" w14:textId="44E6698F" w:rsidR="00250C90" w:rsidRDefault="00831844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50C90">
              <w:rPr>
                <w:rFonts w:ascii="Calibri" w:hAnsi="Calibri" w:cs="Calibri"/>
                <w:color w:val="000000"/>
              </w:rPr>
              <w:t>,000</w:t>
            </w:r>
          </w:p>
        </w:tc>
      </w:tr>
      <w:tr w:rsidR="004764A9" w14:paraId="0207E19F" w14:textId="77777777" w:rsidTr="001F3E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3092" w14:textId="77777777" w:rsidR="00250C90" w:rsidRDefault="00250C90">
            <w:pPr>
              <w:keepLines/>
              <w:spacing w:before="60" w:after="60"/>
              <w:jc w:val="center"/>
            </w:pPr>
            <w: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518F9" w14:textId="77777777" w:rsidR="00250C90" w:rsidRDefault="00250C90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 xml:space="preserve">Production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A51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78AA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F988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C647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4C8A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0D32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0071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</w:tr>
      <w:tr w:rsidR="001F3EBC" w14:paraId="4B198423" w14:textId="77777777" w:rsidTr="001F3E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39E7" w14:textId="77777777" w:rsidR="00831844" w:rsidRDefault="00831844" w:rsidP="00831844">
            <w:pPr>
              <w:keepLines/>
              <w:spacing w:before="60" w:after="60"/>
              <w:jc w:val="center"/>
            </w:pPr>
            <w: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4FBAF" w14:textId="77777777" w:rsidR="00831844" w:rsidRDefault="00831844" w:rsidP="00831844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 xml:space="preserve">EI hybrid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2BD9" w14:textId="566C6299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F69AF">
              <w:t>0.82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1921" w14:textId="170F64A5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F69AF">
              <w:t>0.84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01B8" w14:textId="4494D858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F69AF">
              <w:t>0.86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DE10" w14:textId="1D3C8FF9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F69AF">
              <w:t>0.88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D25" w14:textId="376BFB6E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F69AF">
              <w:t>0.92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7C69" w14:textId="449978BD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F69AF">
              <w:t>0.96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8510" w14:textId="4EB9B2F7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F69AF">
              <w:t>1</w:t>
            </w:r>
            <w:r>
              <w:t>.00</w:t>
            </w:r>
          </w:p>
        </w:tc>
      </w:tr>
      <w:tr w:rsidR="001F3EBC" w14:paraId="1B2BD477" w14:textId="77777777" w:rsidTr="001F3E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1DF0" w14:textId="77777777" w:rsidR="00831844" w:rsidRDefault="00831844" w:rsidP="00831844">
            <w:pPr>
              <w:keepLines/>
              <w:spacing w:before="60" w:after="60"/>
              <w:jc w:val="center"/>
            </w:pPr>
            <w: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C5740" w14:textId="77777777" w:rsidR="00831844" w:rsidRDefault="00831844" w:rsidP="00831844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>Baseline no decline (B x C)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3500" w14:textId="4513926F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DD12DD">
              <w:t xml:space="preserve">205,000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97D" w14:textId="1AE58AF6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DD12DD">
              <w:t xml:space="preserve">210,000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BE1B" w14:textId="7310C2A6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DD12DD">
              <w:t xml:space="preserve">215,000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E8A7" w14:textId="65085EDA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DD12DD">
              <w:t xml:space="preserve">220,000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1627" w14:textId="0D2BB77A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DD12DD">
              <w:t xml:space="preserve">230,000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9495" w14:textId="612A7479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DD12DD">
              <w:t xml:space="preserve">240,000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FDBB" w14:textId="34C325CB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DD12DD">
              <w:t xml:space="preserve">250,000 </w:t>
            </w:r>
          </w:p>
        </w:tc>
      </w:tr>
      <w:tr w:rsidR="004764A9" w14:paraId="78A1AA76" w14:textId="77777777" w:rsidTr="001F3E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916C" w14:textId="77777777" w:rsidR="00250C90" w:rsidRDefault="00250C90">
            <w:pPr>
              <w:keepLines/>
              <w:spacing w:before="60" w:after="60"/>
              <w:jc w:val="center"/>
            </w:pPr>
            <w:r>
              <w:t>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1E547" w14:textId="77777777" w:rsidR="00250C90" w:rsidRDefault="00250C90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 xml:space="preserve">Decline factor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B72C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FFC9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6B9A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EBE3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0E19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BC7C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B98A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0.66</w:t>
            </w:r>
          </w:p>
        </w:tc>
      </w:tr>
      <w:tr w:rsidR="001F3EBC" w14:paraId="2113DA2C" w14:textId="77777777" w:rsidTr="001F3E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E12" w14:textId="77777777" w:rsidR="00831844" w:rsidRDefault="00831844" w:rsidP="00831844">
            <w:pPr>
              <w:keepLines/>
              <w:spacing w:before="60" w:after="60"/>
              <w:jc w:val="center"/>
            </w:pPr>
            <w:r>
              <w:t>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C9675" w14:textId="77777777" w:rsidR="00831844" w:rsidRDefault="00831844" w:rsidP="00831844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>Baseline with decline (D x E)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F253" w14:textId="3D8D9C70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4655BD">
              <w:t xml:space="preserve">194,955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429B" w14:textId="7CB7374C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4655BD">
              <w:t xml:space="preserve">189,420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EFBB" w14:textId="1BD14ACF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4655BD">
              <w:t xml:space="preserve">183,395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8DFC" w14:textId="472FA5C4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4655BD">
              <w:t xml:space="preserve">176,880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C719" w14:textId="09F71D62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4655BD">
              <w:t xml:space="preserve">173,650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0005" w14:textId="682EEF86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4655BD">
              <w:t xml:space="preserve">169,440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95E9" w14:textId="6BA7C6FC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4655BD">
              <w:t xml:space="preserve">164,250 </w:t>
            </w:r>
          </w:p>
        </w:tc>
      </w:tr>
    </w:tbl>
    <w:p w14:paraId="1AD89134" w14:textId="77777777" w:rsidR="00B024C5" w:rsidRDefault="00B024C5" w:rsidP="00B024C5">
      <w:pPr>
        <w:rPr>
          <w:lang w:eastAsia="ja-JP"/>
        </w:rPr>
      </w:pPr>
    </w:p>
    <w:p w14:paraId="01473244" w14:textId="192727A7" w:rsidR="00B024C5" w:rsidRDefault="00B024C5" w:rsidP="00B024C5">
      <w:pPr>
        <w:shd w:val="clear" w:color="auto" w:fill="FFFFFF" w:themeFill="background1"/>
        <w:spacing w:after="140" w:line="240" w:lineRule="exac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Table A2</w:t>
      </w:r>
      <w:r w:rsidRPr="00C43FCD">
        <w:rPr>
          <w:b/>
          <w:color w:val="2E74B5" w:themeColor="accent1" w:themeShade="BF"/>
        </w:rPr>
        <w:t xml:space="preserve">: </w:t>
      </w:r>
      <w:r>
        <w:rPr>
          <w:b/>
          <w:color w:val="2E74B5" w:themeColor="accent1" w:themeShade="BF"/>
        </w:rPr>
        <w:t>Calculation for facility B</w:t>
      </w:r>
    </w:p>
    <w:tbl>
      <w:tblPr>
        <w:tblStyle w:val="TableGrid"/>
        <w:tblW w:w="96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001"/>
        <w:gridCol w:w="1001"/>
        <w:gridCol w:w="1001"/>
        <w:gridCol w:w="1001"/>
        <w:gridCol w:w="1001"/>
        <w:gridCol w:w="1001"/>
        <w:gridCol w:w="1001"/>
      </w:tblGrid>
      <w:tr w:rsidR="00831844" w14:paraId="2F17AD20" w14:textId="77777777" w:rsidTr="001912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EBCBB6" w14:textId="77777777" w:rsidR="00250C90" w:rsidRDefault="00250C90">
            <w:pPr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F2D0CC" w14:textId="77777777" w:rsidR="00250C90" w:rsidRDefault="00250C90">
            <w:pPr>
              <w:keepLines/>
              <w:spacing w:before="60" w:after="60"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40E71E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2023-24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EF4EE7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2024-25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B2C80F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2025-26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B1E6FA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2026-27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F6E4A8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2027-28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AEC0B9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2028-29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243BD1" w14:textId="77777777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</w:rPr>
              <w:t>2029-30</w:t>
            </w:r>
          </w:p>
        </w:tc>
      </w:tr>
      <w:tr w:rsidR="00831844" w14:paraId="19BDFFBC" w14:textId="77777777" w:rsidTr="001912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6331" w14:textId="77777777" w:rsidR="00250C90" w:rsidRDefault="00250C90">
            <w:pPr>
              <w:keepLines/>
              <w:spacing w:before="60" w:after="60"/>
              <w:jc w:val="center"/>
            </w:pPr>
            <w: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F1BFB" w14:textId="77777777" w:rsidR="00250C90" w:rsidRDefault="00250C90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 xml:space="preserve">Emissions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231C" w14:textId="1E89B38D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31844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A21F" w14:textId="23B9E165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31844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348A" w14:textId="2D08A9DF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31844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4B3A" w14:textId="4069A31C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31844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D9A6" w14:textId="2FA32D82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31844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6628" w14:textId="2215A0E1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31844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F6DA" w14:textId="32C9AA9C" w:rsidR="00250C90" w:rsidRDefault="00250C90">
            <w:pPr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31844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</w:tr>
      <w:tr w:rsidR="00831844" w14:paraId="0C311DE2" w14:textId="77777777" w:rsidTr="001912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9069" w14:textId="77777777" w:rsidR="00250C90" w:rsidRDefault="00250C90">
            <w:pPr>
              <w:keepLines/>
              <w:spacing w:before="60" w:after="60"/>
              <w:jc w:val="center"/>
            </w:pPr>
            <w:r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8E010" w14:textId="77777777" w:rsidR="00250C90" w:rsidRDefault="00250C90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 xml:space="preserve">Production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B070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7E5F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D982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FF48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49B1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F1A7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7227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250,000</w:t>
            </w:r>
          </w:p>
        </w:tc>
      </w:tr>
      <w:tr w:rsidR="00831844" w14:paraId="4BD7C8B3" w14:textId="77777777" w:rsidTr="001912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272A" w14:textId="77777777" w:rsidR="00831844" w:rsidRDefault="00831844" w:rsidP="00831844">
            <w:pPr>
              <w:keepLines/>
              <w:spacing w:before="60" w:after="60"/>
              <w:jc w:val="center"/>
            </w:pPr>
            <w: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F5BB6" w14:textId="77777777" w:rsidR="00831844" w:rsidRDefault="00831844" w:rsidP="00831844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 xml:space="preserve">EI hybrid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2CB5" w14:textId="7DA2F876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761BB">
              <w:t>1.18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028F" w14:textId="7022C63E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761BB">
              <w:t>1.16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E384" w14:textId="011C30A3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761BB">
              <w:t>1.14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284D" w14:textId="31829749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761BB">
              <w:t>1.12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FAA6" w14:textId="79F29C97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761BB">
              <w:t>1.08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2B3" w14:textId="6B6E46B9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761BB">
              <w:t>1.04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968" w14:textId="009C252A" w:rsidR="00831844" w:rsidRDefault="00831844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F761BB">
              <w:t>1.00</w:t>
            </w:r>
          </w:p>
        </w:tc>
      </w:tr>
      <w:tr w:rsidR="00E64C39" w14:paraId="3A3EA14B" w14:textId="77777777" w:rsidTr="001912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6DA" w14:textId="77777777" w:rsidR="00E64C39" w:rsidRDefault="00E64C39" w:rsidP="00E64C39">
            <w:pPr>
              <w:keepLines/>
              <w:spacing w:before="60" w:after="60"/>
              <w:jc w:val="center"/>
            </w:pPr>
            <w: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57B48" w14:textId="77777777" w:rsidR="00E64C39" w:rsidRDefault="00E64C39" w:rsidP="00E64C39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>Baseline no decline (B x C)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5AF1" w14:textId="014A7CC6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E3B6D">
              <w:t xml:space="preserve">295,000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84AE" w14:textId="21A17A78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E3B6D">
              <w:t xml:space="preserve">290,000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B25E" w14:textId="4AE417F5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E3B6D">
              <w:t xml:space="preserve">285,000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B1F6" w14:textId="2B77F2B3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E3B6D">
              <w:t xml:space="preserve">280,000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745" w14:textId="33A69359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E3B6D">
              <w:t xml:space="preserve">270,000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A7B" w14:textId="186F7A67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E3B6D">
              <w:t xml:space="preserve">260,000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043" w14:textId="07B77652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E3B6D">
              <w:t xml:space="preserve">250,000 </w:t>
            </w:r>
          </w:p>
        </w:tc>
      </w:tr>
      <w:tr w:rsidR="00831844" w14:paraId="3538EF0F" w14:textId="77777777" w:rsidTr="001912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9224" w14:textId="77777777" w:rsidR="00250C90" w:rsidRDefault="00250C90">
            <w:pPr>
              <w:keepLines/>
              <w:spacing w:before="60" w:after="60"/>
              <w:jc w:val="center"/>
            </w:pPr>
            <w:r>
              <w:t>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92507" w14:textId="77777777" w:rsidR="00250C90" w:rsidRDefault="00250C90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 xml:space="preserve">Decline factor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4EFE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2AC2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2F11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69CE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DA62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8D35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1F84" w14:textId="77777777" w:rsidR="00250C90" w:rsidRDefault="00250C90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0.66</w:t>
            </w:r>
          </w:p>
        </w:tc>
      </w:tr>
      <w:tr w:rsidR="00E64C39" w14:paraId="222874F1" w14:textId="77777777" w:rsidTr="001912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DFB3" w14:textId="77777777" w:rsidR="00E64C39" w:rsidRDefault="00E64C39" w:rsidP="00E64C39">
            <w:pPr>
              <w:keepLines/>
              <w:spacing w:before="60" w:after="60"/>
              <w:jc w:val="center"/>
            </w:pPr>
            <w:r>
              <w:t>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DBA48" w14:textId="77777777" w:rsidR="00E64C39" w:rsidRDefault="00E64C39" w:rsidP="00E64C39">
            <w:pPr>
              <w:keepLines/>
              <w:spacing w:before="60" w:after="60"/>
            </w:pPr>
            <w:r>
              <w:rPr>
                <w:rFonts w:ascii="Calibri" w:hAnsi="Calibri" w:cs="Calibri"/>
                <w:color w:val="000000"/>
              </w:rPr>
              <w:t>Baseline with decline (D x E)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3758" w14:textId="2442E468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D76BA">
              <w:t xml:space="preserve">280,545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06FC" w14:textId="35414199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D76BA">
              <w:t xml:space="preserve">261,580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A71F" w14:textId="237E5FED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D76BA">
              <w:t xml:space="preserve">243,105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253C" w14:textId="4232DCAA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D76BA">
              <w:t xml:space="preserve">225,120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2186" w14:textId="3448503B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D76BA">
              <w:t xml:space="preserve">203,850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EA66" w14:textId="553AC58B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D76BA">
              <w:t xml:space="preserve">183,560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00EE" w14:textId="4AB944BB" w:rsidR="00E64C39" w:rsidRDefault="00E64C39">
            <w:pPr>
              <w:keepLines/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D76BA">
              <w:t xml:space="preserve">164,250 </w:t>
            </w:r>
          </w:p>
        </w:tc>
      </w:tr>
    </w:tbl>
    <w:p w14:paraId="0E28F854" w14:textId="77777777" w:rsidR="00250C90" w:rsidRPr="00C43FCD" w:rsidRDefault="00250C90" w:rsidP="00B024C5">
      <w:pPr>
        <w:shd w:val="clear" w:color="auto" w:fill="FFFFFF" w:themeFill="background1"/>
        <w:spacing w:after="140" w:line="240" w:lineRule="exact"/>
        <w:rPr>
          <w:b/>
          <w:color w:val="2E74B5" w:themeColor="accent1" w:themeShade="BF"/>
        </w:rPr>
      </w:pPr>
    </w:p>
    <w:p w14:paraId="33A8E717" w14:textId="77777777" w:rsidR="00CB7455" w:rsidRPr="00DE3FAA" w:rsidRDefault="00CB7455" w:rsidP="00CB7455">
      <w:pPr>
        <w:pStyle w:val="Heading2"/>
        <w:keepLines w:val="0"/>
        <w:spacing w:before="120" w:after="120" w:line="240" w:lineRule="auto"/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</w:pPr>
      <w:r w:rsidRPr="00DE3FAA">
        <w:rPr>
          <w:rFonts w:ascii="Calibri" w:eastAsiaTheme="minorEastAsia" w:hAnsi="Calibri" w:cstheme="minorBidi"/>
          <w:b/>
          <w:bCs/>
          <w:color w:val="197C7D"/>
          <w:sz w:val="28"/>
          <w:szCs w:val="28"/>
          <w:lang w:eastAsia="ja-JP"/>
        </w:rPr>
        <w:t>More information</w:t>
      </w:r>
    </w:p>
    <w:p w14:paraId="2625A97F" w14:textId="3F7AA52F" w:rsidR="00446F09" w:rsidRDefault="00CB7455" w:rsidP="00CB7455">
      <w:r>
        <w:rPr>
          <w:lang w:eastAsia="ja-JP"/>
        </w:rPr>
        <w:t xml:space="preserve">Learn more </w:t>
      </w:r>
      <w:r w:rsidRPr="00DE6EB3">
        <w:rPr>
          <w:lang w:eastAsia="ja-JP"/>
        </w:rPr>
        <w:t xml:space="preserve">about </w:t>
      </w:r>
      <w:r w:rsidRPr="00DE6EB3">
        <w:t xml:space="preserve">the Safeguard Mechanism reforms at </w:t>
      </w:r>
      <w:hyperlink r:id="rId14" w:history="1">
        <w:r w:rsidRPr="007E77B8">
          <w:rPr>
            <w:rStyle w:val="Hyperlink"/>
            <w:b/>
            <w:bCs/>
          </w:rPr>
          <w:t>https://consult.industry.gov.au/safeguard-mechanism-reform-consultation-paper</w:t>
        </w:r>
      </w:hyperlink>
      <w:r w:rsidR="007E77B8" w:rsidRPr="007E77B8">
        <w:rPr>
          <w:rStyle w:val="Hyperlink"/>
          <w:b/>
          <w:bCs/>
        </w:rPr>
        <w:t>.</w:t>
      </w:r>
    </w:p>
    <w:sectPr w:rsidR="00446F09" w:rsidSect="00D36C98">
      <w:headerReference w:type="default" r:id="rId15"/>
      <w:footerReference w:type="default" r:id="rId16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805D" w14:textId="77777777" w:rsidR="00A066A2" w:rsidRDefault="00A066A2" w:rsidP="004D0ADE">
      <w:pPr>
        <w:spacing w:after="0" w:line="240" w:lineRule="auto"/>
      </w:pPr>
      <w:r>
        <w:separator/>
      </w:r>
    </w:p>
  </w:endnote>
  <w:endnote w:type="continuationSeparator" w:id="0">
    <w:p w14:paraId="7EB55209" w14:textId="77777777" w:rsidR="00A066A2" w:rsidRDefault="00A066A2" w:rsidP="004D0ADE">
      <w:pPr>
        <w:spacing w:after="0" w:line="240" w:lineRule="auto"/>
      </w:pPr>
      <w:r>
        <w:continuationSeparator/>
      </w:r>
    </w:p>
  </w:endnote>
  <w:endnote w:type="continuationNotice" w:id="1">
    <w:p w14:paraId="1698601F" w14:textId="77777777" w:rsidR="00E439CF" w:rsidRDefault="00E43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B86A2" w14:textId="77777777" w:rsidR="00287ABB" w:rsidRPr="00CB7455" w:rsidRDefault="00287ABB" w:rsidP="00CB7455">
        <w:pPr>
          <w:pStyle w:val="Footer"/>
          <w:jc w:val="center"/>
          <w:rPr>
            <w:sz w:val="20"/>
            <w:szCs w:val="20"/>
          </w:rPr>
        </w:pPr>
        <w:r w:rsidRPr="00CB7455">
          <w:rPr>
            <w:sz w:val="20"/>
            <w:szCs w:val="20"/>
          </w:rPr>
          <w:t>Department of Climate Change, Energy, the Environment and Water</w:t>
        </w:r>
      </w:p>
      <w:p w14:paraId="0D88F25C" w14:textId="2E093EB0" w:rsidR="00287ABB" w:rsidRDefault="00287ABB" w:rsidP="00287ABB">
        <w:pPr>
          <w:pStyle w:val="Footer"/>
          <w:tabs>
            <w:tab w:val="clear" w:pos="4513"/>
            <w:tab w:val="center" w:pos="4536"/>
          </w:tabs>
          <w:spacing w:after="120"/>
          <w:jc w:val="center"/>
          <w:rPr>
            <w:rFonts w:ascii="Calibri" w:hAnsi="Calibri" w:cs="Calibri"/>
            <w:b/>
            <w:bCs/>
            <w:noProof/>
          </w:rPr>
        </w:pPr>
        <w:r w:rsidRPr="00CB7455">
          <w:rPr>
            <w:sz w:val="20"/>
            <w:szCs w:val="20"/>
          </w:rPr>
          <w:fldChar w:fldCharType="begin"/>
        </w:r>
        <w:r w:rsidRPr="00CB7455">
          <w:rPr>
            <w:sz w:val="20"/>
            <w:szCs w:val="20"/>
          </w:rPr>
          <w:instrText xml:space="preserve"> PAGE   \* MERGEFORMAT </w:instrText>
        </w:r>
        <w:r w:rsidRPr="00CB7455">
          <w:rPr>
            <w:sz w:val="20"/>
            <w:szCs w:val="20"/>
          </w:rPr>
          <w:fldChar w:fldCharType="separate"/>
        </w:r>
        <w:r w:rsidR="005A227A">
          <w:rPr>
            <w:noProof/>
            <w:sz w:val="20"/>
            <w:szCs w:val="20"/>
          </w:rPr>
          <w:t>3</w:t>
        </w:r>
        <w:r w:rsidRPr="00CB7455">
          <w:rPr>
            <w:noProof/>
            <w:sz w:val="20"/>
            <w:szCs w:val="20"/>
          </w:rPr>
          <w:fldChar w:fldCharType="end"/>
        </w:r>
      </w:p>
    </w:sdtContent>
  </w:sdt>
  <w:p w14:paraId="2B5C1371" w14:textId="77777777" w:rsidR="005C4E96" w:rsidRDefault="005C4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85AB" w14:textId="77777777" w:rsidR="00A066A2" w:rsidRDefault="00A066A2" w:rsidP="004D0ADE">
      <w:pPr>
        <w:spacing w:after="0" w:line="240" w:lineRule="auto"/>
      </w:pPr>
      <w:r>
        <w:separator/>
      </w:r>
    </w:p>
  </w:footnote>
  <w:footnote w:type="continuationSeparator" w:id="0">
    <w:p w14:paraId="67CD0AC6" w14:textId="77777777" w:rsidR="00A066A2" w:rsidRDefault="00A066A2" w:rsidP="004D0ADE">
      <w:pPr>
        <w:spacing w:after="0" w:line="240" w:lineRule="auto"/>
      </w:pPr>
      <w:r>
        <w:continuationSeparator/>
      </w:r>
    </w:p>
  </w:footnote>
  <w:footnote w:type="continuationNotice" w:id="1">
    <w:p w14:paraId="21D30A0E" w14:textId="77777777" w:rsidR="00E439CF" w:rsidRDefault="00E43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CEB4" w14:textId="0A895094" w:rsidR="00A066A2" w:rsidRPr="00BD791E" w:rsidRDefault="00A066A2" w:rsidP="00BD791E">
    <w:pPr>
      <w:pStyle w:val="Header"/>
      <w:jc w:val="center"/>
      <w:rPr>
        <w:b/>
        <w:color w:val="FF0000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DA533A3" wp14:editId="5112BF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633855"/>
          <wp:effectExtent l="0" t="0" r="3175" b="4445"/>
          <wp:wrapNone/>
          <wp:docPr id="6" name="Picture 6" descr="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FCE"/>
    <w:multiLevelType w:val="hybridMultilevel"/>
    <w:tmpl w:val="AA760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397"/>
    <w:multiLevelType w:val="hybridMultilevel"/>
    <w:tmpl w:val="76ECAF6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2238F2"/>
    <w:multiLevelType w:val="hybridMultilevel"/>
    <w:tmpl w:val="CB4A4BAE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18783C"/>
    <w:multiLevelType w:val="hybridMultilevel"/>
    <w:tmpl w:val="C076E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236"/>
    <w:multiLevelType w:val="hybridMultilevel"/>
    <w:tmpl w:val="D6F4F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0F19"/>
    <w:multiLevelType w:val="hybridMultilevel"/>
    <w:tmpl w:val="CCFC9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F0E7E"/>
    <w:multiLevelType w:val="hybridMultilevel"/>
    <w:tmpl w:val="153E2B7E"/>
    <w:lvl w:ilvl="0" w:tplc="0C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7" w15:restartNumberingAfterBreak="0">
    <w:nsid w:val="3FD9315E"/>
    <w:multiLevelType w:val="hybridMultilevel"/>
    <w:tmpl w:val="C6CC1D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A4D95"/>
    <w:multiLevelType w:val="hybridMultilevel"/>
    <w:tmpl w:val="3DD22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C5DED"/>
    <w:multiLevelType w:val="hybridMultilevel"/>
    <w:tmpl w:val="18D62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60A01"/>
    <w:multiLevelType w:val="hybridMultilevel"/>
    <w:tmpl w:val="11E039FE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0265A5E"/>
    <w:multiLevelType w:val="hybridMultilevel"/>
    <w:tmpl w:val="39DE6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4074"/>
    <w:multiLevelType w:val="hybridMultilevel"/>
    <w:tmpl w:val="D79C0B42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C"/>
    <w:rsid w:val="0001066E"/>
    <w:rsid w:val="00026246"/>
    <w:rsid w:val="00027545"/>
    <w:rsid w:val="00046010"/>
    <w:rsid w:val="0004634D"/>
    <w:rsid w:val="000504E2"/>
    <w:rsid w:val="000526D8"/>
    <w:rsid w:val="000545F3"/>
    <w:rsid w:val="00065BE8"/>
    <w:rsid w:val="00067F73"/>
    <w:rsid w:val="00073B33"/>
    <w:rsid w:val="00074CE0"/>
    <w:rsid w:val="000907F8"/>
    <w:rsid w:val="00091375"/>
    <w:rsid w:val="00092D90"/>
    <w:rsid w:val="0009329C"/>
    <w:rsid w:val="000949C4"/>
    <w:rsid w:val="000A1648"/>
    <w:rsid w:val="000C099E"/>
    <w:rsid w:val="000D0BF4"/>
    <w:rsid w:val="000F0D3F"/>
    <w:rsid w:val="000F1D4E"/>
    <w:rsid w:val="000F258F"/>
    <w:rsid w:val="000F49C9"/>
    <w:rsid w:val="00100B0F"/>
    <w:rsid w:val="001102FF"/>
    <w:rsid w:val="001145DE"/>
    <w:rsid w:val="0012154E"/>
    <w:rsid w:val="00133736"/>
    <w:rsid w:val="0014256D"/>
    <w:rsid w:val="0016289E"/>
    <w:rsid w:val="00173E67"/>
    <w:rsid w:val="00177CF9"/>
    <w:rsid w:val="00184C7A"/>
    <w:rsid w:val="001912BC"/>
    <w:rsid w:val="001A184A"/>
    <w:rsid w:val="001A21B6"/>
    <w:rsid w:val="001A663C"/>
    <w:rsid w:val="001B4DE5"/>
    <w:rsid w:val="001D013A"/>
    <w:rsid w:val="001D18BF"/>
    <w:rsid w:val="001D51F8"/>
    <w:rsid w:val="001E022E"/>
    <w:rsid w:val="001E3B84"/>
    <w:rsid w:val="001E6835"/>
    <w:rsid w:val="001E6C6D"/>
    <w:rsid w:val="001F0494"/>
    <w:rsid w:val="001F3EBC"/>
    <w:rsid w:val="002117A7"/>
    <w:rsid w:val="00230D55"/>
    <w:rsid w:val="00233E52"/>
    <w:rsid w:val="00240BEE"/>
    <w:rsid w:val="00244782"/>
    <w:rsid w:val="00245D36"/>
    <w:rsid w:val="00250C90"/>
    <w:rsid w:val="00261661"/>
    <w:rsid w:val="00287ABB"/>
    <w:rsid w:val="00297148"/>
    <w:rsid w:val="002D350C"/>
    <w:rsid w:val="002E2F93"/>
    <w:rsid w:val="002E7354"/>
    <w:rsid w:val="00314A1C"/>
    <w:rsid w:val="00327319"/>
    <w:rsid w:val="003521BF"/>
    <w:rsid w:val="00352573"/>
    <w:rsid w:val="0037643B"/>
    <w:rsid w:val="00394FB9"/>
    <w:rsid w:val="003973AF"/>
    <w:rsid w:val="003A100F"/>
    <w:rsid w:val="003A5D62"/>
    <w:rsid w:val="003B2984"/>
    <w:rsid w:val="003B50F4"/>
    <w:rsid w:val="003D3296"/>
    <w:rsid w:val="003D63BA"/>
    <w:rsid w:val="003D7627"/>
    <w:rsid w:val="003D7CFB"/>
    <w:rsid w:val="003E27F5"/>
    <w:rsid w:val="003E33CB"/>
    <w:rsid w:val="004103F1"/>
    <w:rsid w:val="00411DD9"/>
    <w:rsid w:val="00446F09"/>
    <w:rsid w:val="0045349A"/>
    <w:rsid w:val="004549C9"/>
    <w:rsid w:val="004646CB"/>
    <w:rsid w:val="00466D39"/>
    <w:rsid w:val="004764A9"/>
    <w:rsid w:val="0048131B"/>
    <w:rsid w:val="00485D8D"/>
    <w:rsid w:val="00492CF6"/>
    <w:rsid w:val="00493728"/>
    <w:rsid w:val="004951F5"/>
    <w:rsid w:val="004D0ADE"/>
    <w:rsid w:val="004D582F"/>
    <w:rsid w:val="004F10A6"/>
    <w:rsid w:val="005008C6"/>
    <w:rsid w:val="005018D4"/>
    <w:rsid w:val="00506504"/>
    <w:rsid w:val="00515EA4"/>
    <w:rsid w:val="00527E38"/>
    <w:rsid w:val="00531738"/>
    <w:rsid w:val="00540560"/>
    <w:rsid w:val="00584D4C"/>
    <w:rsid w:val="00592F66"/>
    <w:rsid w:val="005941CE"/>
    <w:rsid w:val="005A000F"/>
    <w:rsid w:val="005A227A"/>
    <w:rsid w:val="005B0FAA"/>
    <w:rsid w:val="005C0336"/>
    <w:rsid w:val="005C4E96"/>
    <w:rsid w:val="005D43D5"/>
    <w:rsid w:val="005D58B4"/>
    <w:rsid w:val="005E7BBC"/>
    <w:rsid w:val="006050AE"/>
    <w:rsid w:val="00613B2F"/>
    <w:rsid w:val="00627FCF"/>
    <w:rsid w:val="0063649E"/>
    <w:rsid w:val="006516CB"/>
    <w:rsid w:val="00661790"/>
    <w:rsid w:val="00673205"/>
    <w:rsid w:val="00681DE6"/>
    <w:rsid w:val="00692F15"/>
    <w:rsid w:val="006A3A53"/>
    <w:rsid w:val="006B090D"/>
    <w:rsid w:val="006B2A84"/>
    <w:rsid w:val="006C0CD8"/>
    <w:rsid w:val="006C41DA"/>
    <w:rsid w:val="006C722C"/>
    <w:rsid w:val="006D29F0"/>
    <w:rsid w:val="006E07D2"/>
    <w:rsid w:val="00702BF9"/>
    <w:rsid w:val="0071218F"/>
    <w:rsid w:val="00717BBD"/>
    <w:rsid w:val="007355D8"/>
    <w:rsid w:val="0074538F"/>
    <w:rsid w:val="007A7E1A"/>
    <w:rsid w:val="007B11B1"/>
    <w:rsid w:val="007B71E2"/>
    <w:rsid w:val="007B7E59"/>
    <w:rsid w:val="007D2E4E"/>
    <w:rsid w:val="007E09DC"/>
    <w:rsid w:val="007E6783"/>
    <w:rsid w:val="007E77B8"/>
    <w:rsid w:val="007F5449"/>
    <w:rsid w:val="00803F9A"/>
    <w:rsid w:val="00831844"/>
    <w:rsid w:val="008468C3"/>
    <w:rsid w:val="008561D3"/>
    <w:rsid w:val="008728C5"/>
    <w:rsid w:val="008A1490"/>
    <w:rsid w:val="008A36D1"/>
    <w:rsid w:val="008A4F30"/>
    <w:rsid w:val="008A6614"/>
    <w:rsid w:val="008C687B"/>
    <w:rsid w:val="00903FDC"/>
    <w:rsid w:val="00923F1B"/>
    <w:rsid w:val="00925994"/>
    <w:rsid w:val="0094167E"/>
    <w:rsid w:val="0094172C"/>
    <w:rsid w:val="00964F84"/>
    <w:rsid w:val="00964FFA"/>
    <w:rsid w:val="00966274"/>
    <w:rsid w:val="009A2E03"/>
    <w:rsid w:val="009A373B"/>
    <w:rsid w:val="009A5477"/>
    <w:rsid w:val="009C1D13"/>
    <w:rsid w:val="009D66DE"/>
    <w:rsid w:val="009E714B"/>
    <w:rsid w:val="00A066A2"/>
    <w:rsid w:val="00A112D6"/>
    <w:rsid w:val="00A201DC"/>
    <w:rsid w:val="00A2256A"/>
    <w:rsid w:val="00A2695C"/>
    <w:rsid w:val="00A32A9F"/>
    <w:rsid w:val="00A464F5"/>
    <w:rsid w:val="00A535BE"/>
    <w:rsid w:val="00A53E4D"/>
    <w:rsid w:val="00A60A6B"/>
    <w:rsid w:val="00A64156"/>
    <w:rsid w:val="00A6630D"/>
    <w:rsid w:val="00A67D48"/>
    <w:rsid w:val="00A73D17"/>
    <w:rsid w:val="00A74F06"/>
    <w:rsid w:val="00A91596"/>
    <w:rsid w:val="00AA00EB"/>
    <w:rsid w:val="00AB2775"/>
    <w:rsid w:val="00AB5FB4"/>
    <w:rsid w:val="00AB6A47"/>
    <w:rsid w:val="00AD38BD"/>
    <w:rsid w:val="00AD4457"/>
    <w:rsid w:val="00AE7866"/>
    <w:rsid w:val="00B024C5"/>
    <w:rsid w:val="00B02EFE"/>
    <w:rsid w:val="00B04F87"/>
    <w:rsid w:val="00B31157"/>
    <w:rsid w:val="00B370F7"/>
    <w:rsid w:val="00B4369D"/>
    <w:rsid w:val="00B4705E"/>
    <w:rsid w:val="00B63823"/>
    <w:rsid w:val="00B73EEF"/>
    <w:rsid w:val="00B743C8"/>
    <w:rsid w:val="00B74F6E"/>
    <w:rsid w:val="00B86481"/>
    <w:rsid w:val="00BA4FB7"/>
    <w:rsid w:val="00BA7704"/>
    <w:rsid w:val="00BB09E0"/>
    <w:rsid w:val="00BB44A0"/>
    <w:rsid w:val="00BC2F81"/>
    <w:rsid w:val="00BC4A67"/>
    <w:rsid w:val="00BD791E"/>
    <w:rsid w:val="00BD7F62"/>
    <w:rsid w:val="00BF12BF"/>
    <w:rsid w:val="00BF58D3"/>
    <w:rsid w:val="00C02DEE"/>
    <w:rsid w:val="00C22458"/>
    <w:rsid w:val="00C43FCD"/>
    <w:rsid w:val="00C47F85"/>
    <w:rsid w:val="00C549A3"/>
    <w:rsid w:val="00C8549C"/>
    <w:rsid w:val="00CA1351"/>
    <w:rsid w:val="00CB7455"/>
    <w:rsid w:val="00CC6551"/>
    <w:rsid w:val="00CC7D38"/>
    <w:rsid w:val="00CD2E77"/>
    <w:rsid w:val="00CF2500"/>
    <w:rsid w:val="00D01D5C"/>
    <w:rsid w:val="00D054FA"/>
    <w:rsid w:val="00D2572A"/>
    <w:rsid w:val="00D30972"/>
    <w:rsid w:val="00D36C98"/>
    <w:rsid w:val="00D467D7"/>
    <w:rsid w:val="00D50052"/>
    <w:rsid w:val="00D50871"/>
    <w:rsid w:val="00D55207"/>
    <w:rsid w:val="00D62639"/>
    <w:rsid w:val="00D63069"/>
    <w:rsid w:val="00D6786F"/>
    <w:rsid w:val="00D722EC"/>
    <w:rsid w:val="00D74910"/>
    <w:rsid w:val="00D96839"/>
    <w:rsid w:val="00D97A57"/>
    <w:rsid w:val="00DC03C1"/>
    <w:rsid w:val="00DC6B97"/>
    <w:rsid w:val="00DC7105"/>
    <w:rsid w:val="00DD2A4F"/>
    <w:rsid w:val="00DD41F4"/>
    <w:rsid w:val="00DD4237"/>
    <w:rsid w:val="00DE3FAA"/>
    <w:rsid w:val="00DF5A84"/>
    <w:rsid w:val="00E242FD"/>
    <w:rsid w:val="00E42ABA"/>
    <w:rsid w:val="00E439CF"/>
    <w:rsid w:val="00E51D05"/>
    <w:rsid w:val="00E61368"/>
    <w:rsid w:val="00E613B4"/>
    <w:rsid w:val="00E64C39"/>
    <w:rsid w:val="00E67C61"/>
    <w:rsid w:val="00E7004A"/>
    <w:rsid w:val="00E737BF"/>
    <w:rsid w:val="00E76DBC"/>
    <w:rsid w:val="00E81C69"/>
    <w:rsid w:val="00E81F2B"/>
    <w:rsid w:val="00E8659A"/>
    <w:rsid w:val="00EA3009"/>
    <w:rsid w:val="00EA4CEE"/>
    <w:rsid w:val="00EB587C"/>
    <w:rsid w:val="00EB7BAF"/>
    <w:rsid w:val="00ED73C1"/>
    <w:rsid w:val="00EE19E9"/>
    <w:rsid w:val="00EE343C"/>
    <w:rsid w:val="00EE6E9D"/>
    <w:rsid w:val="00EE7498"/>
    <w:rsid w:val="00EF03ED"/>
    <w:rsid w:val="00F206FD"/>
    <w:rsid w:val="00F21C41"/>
    <w:rsid w:val="00F22C0A"/>
    <w:rsid w:val="00F341EB"/>
    <w:rsid w:val="00F35046"/>
    <w:rsid w:val="00F358F5"/>
    <w:rsid w:val="00F544CD"/>
    <w:rsid w:val="00F5750A"/>
    <w:rsid w:val="00F60563"/>
    <w:rsid w:val="00F62D18"/>
    <w:rsid w:val="00F9322A"/>
    <w:rsid w:val="00F97260"/>
    <w:rsid w:val="00FA0B21"/>
    <w:rsid w:val="00FA7FEC"/>
    <w:rsid w:val="00FB2C02"/>
    <w:rsid w:val="00FC321A"/>
    <w:rsid w:val="00FD712D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84670D9"/>
  <w15:chartTrackingRefBased/>
  <w15:docId w15:val="{172DBC56-56CF-47A2-A363-97E118DE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54"/>
  </w:style>
  <w:style w:type="paragraph" w:styleId="Heading1">
    <w:name w:val="heading 1"/>
    <w:basedOn w:val="Normal"/>
    <w:next w:val="Normal"/>
    <w:link w:val="Heading1Char"/>
    <w:uiPriority w:val="1"/>
    <w:qFormat/>
    <w:rsid w:val="00BB4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B4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F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 para,Recommendation,numbered,列出段落,列出段落1"/>
    <w:basedOn w:val="Normal"/>
    <w:link w:val="ListParagraphChar"/>
    <w:uiPriority w:val="34"/>
    <w:qFormat/>
    <w:rsid w:val="00903F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B4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BB44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0F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D0A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0A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ADE"/>
    <w:rPr>
      <w:vertAlign w:val="superscript"/>
    </w:rPr>
  </w:style>
  <w:style w:type="paragraph" w:customStyle="1" w:styleId="Calloutbox">
    <w:name w:val="Call out box"/>
    <w:basedOn w:val="Normal"/>
    <w:link w:val="CalloutboxChar"/>
    <w:qFormat/>
    <w:rsid w:val="00D30972"/>
    <w:pPr>
      <w:pBdr>
        <w:top w:val="single" w:sz="4" w:space="6" w:color="0D0D0D" w:themeColor="text1" w:themeTint="F2"/>
        <w:left w:val="single" w:sz="4" w:space="4" w:color="0D0D0D" w:themeColor="text1" w:themeTint="F2"/>
        <w:bottom w:val="single" w:sz="4" w:space="6" w:color="0D0D0D" w:themeColor="text1" w:themeTint="F2"/>
        <w:right w:val="single" w:sz="4" w:space="4" w:color="0D0D0D" w:themeColor="text1" w:themeTint="F2"/>
      </w:pBdr>
      <w:shd w:val="clear" w:color="auto" w:fill="FFE7ED"/>
      <w:ind w:left="136" w:right="249"/>
    </w:pPr>
  </w:style>
  <w:style w:type="character" w:customStyle="1" w:styleId="CalloutboxChar">
    <w:name w:val="Call out box Char"/>
    <w:basedOn w:val="DefaultParagraphFont"/>
    <w:link w:val="Calloutbox"/>
    <w:rsid w:val="00D30972"/>
    <w:rPr>
      <w:shd w:val="clear" w:color="auto" w:fill="FFE7ED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locked/>
    <w:rsid w:val="00173E67"/>
  </w:style>
  <w:style w:type="paragraph" w:styleId="PlainText">
    <w:name w:val="Plain Text"/>
    <w:basedOn w:val="Normal"/>
    <w:link w:val="PlainTextChar"/>
    <w:uiPriority w:val="99"/>
    <w:semiHidden/>
    <w:unhideWhenUsed/>
    <w:rsid w:val="007A7E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E1A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D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1E"/>
  </w:style>
  <w:style w:type="paragraph" w:styleId="Footer">
    <w:name w:val="footer"/>
    <w:basedOn w:val="Normal"/>
    <w:link w:val="FooterChar"/>
    <w:uiPriority w:val="99"/>
    <w:unhideWhenUsed/>
    <w:rsid w:val="00BD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1E"/>
  </w:style>
  <w:style w:type="paragraph" w:styleId="Title">
    <w:name w:val="Title"/>
    <w:basedOn w:val="Normal"/>
    <w:next w:val="Normal"/>
    <w:link w:val="TitleChar"/>
    <w:uiPriority w:val="10"/>
    <w:qFormat/>
    <w:rsid w:val="00177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E613B4"/>
    <w:pPr>
      <w:spacing w:after="0" w:line="240" w:lineRule="auto"/>
    </w:pPr>
  </w:style>
  <w:style w:type="paragraph" w:customStyle="1" w:styleId="Series">
    <w:name w:val="Series"/>
    <w:qFormat/>
    <w:rsid w:val="00EB7BAF"/>
    <w:pPr>
      <w:spacing w:before="120" w:after="120" w:line="240" w:lineRule="auto"/>
    </w:pPr>
    <w:rPr>
      <w:b/>
      <w:i/>
      <w:color w:val="44546A" w:themeColor="text2"/>
      <w:sz w:val="32"/>
    </w:rPr>
  </w:style>
  <w:style w:type="character" w:styleId="Hyperlink">
    <w:name w:val="Hyperlink"/>
    <w:basedOn w:val="DefaultParagraphFont"/>
    <w:uiPriority w:val="99"/>
    <w:qFormat/>
    <w:rsid w:val="00DE3FAA"/>
    <w:rPr>
      <w:color w:val="165788"/>
      <w:u w:val="single"/>
    </w:rPr>
  </w:style>
  <w:style w:type="character" w:styleId="Strong">
    <w:name w:val="Strong"/>
    <w:basedOn w:val="DefaultParagraphFont"/>
    <w:uiPriority w:val="22"/>
    <w:qFormat/>
    <w:rsid w:val="00DE3FAA"/>
    <w:rPr>
      <w:b/>
      <w:bCs/>
    </w:rPr>
  </w:style>
  <w:style w:type="paragraph" w:customStyle="1" w:styleId="Normalsmall">
    <w:name w:val="Normal small"/>
    <w:qFormat/>
    <w:rsid w:val="00DE3FAA"/>
    <w:pPr>
      <w:spacing w:after="120" w:line="276" w:lineRule="auto"/>
    </w:pPr>
    <w:rPr>
      <w:sz w:val="18"/>
      <w:szCs w:val="18"/>
    </w:rPr>
  </w:style>
  <w:style w:type="character" w:customStyle="1" w:styleId="s37">
    <w:name w:val="s37"/>
    <w:basedOn w:val="DefaultParagraphFont"/>
    <w:rsid w:val="003E27F5"/>
  </w:style>
  <w:style w:type="character" w:customStyle="1" w:styleId="s30">
    <w:name w:val="s30"/>
    <w:basedOn w:val="DefaultParagraphFont"/>
    <w:rsid w:val="003E27F5"/>
  </w:style>
  <w:style w:type="table" w:styleId="TableGrid">
    <w:name w:val="Table Grid"/>
    <w:basedOn w:val="TableNormal"/>
    <w:uiPriority w:val="39"/>
    <w:rsid w:val="001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aliases w:val="tt"/>
    <w:basedOn w:val="Normal"/>
    <w:rsid w:val="001E6835"/>
    <w:pPr>
      <w:spacing w:before="60" w:after="0" w:line="240" w:lineRule="atLeast"/>
    </w:pPr>
    <w:rPr>
      <w:rFonts w:ascii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sult.industry.gov.au/safeguard-mechanism-reform-consultation-pap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Safeguard Mechanism</TermName>
          <TermId xmlns="http://schemas.microsoft.com/office/infopath/2007/PartnerControls">462066da-c297-4969-b9e8-878ecfcc0dda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38af007d-6d80-4dd0-9833-ef17489d7c7e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1f93d6e9-ce72-494e-aefd-be45817cd598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TaxCatchAll xmlns="a36bd50b-1532-4c22-b385-5c082c960938">
      <Value>82</Value>
      <Value>1390</Value>
      <Value>234</Value>
      <Value>295</Value>
      <Value>378</Value>
    </TaxCatchAll>
    <Comments xmlns="http://schemas.microsoft.com/sharepoint/v3">Cleared by AG and office</Comments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86DFDE75994F940B8C539C91BA04" ma:contentTypeVersion="14" ma:contentTypeDescription="Create a new document." ma:contentTypeScope="" ma:versionID="4141dd26a2ffeb935ee6c41f54aa8c3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35a4915c153d951265893df6741f4417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D446-B8BA-43E1-B034-E73D60931B08}">
  <ds:schemaRefs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c4c6479-bb6a-4263-8159-fbb0afc5d491"/>
    <ds:schemaRef ds:uri="http://schemas.microsoft.com/sharepoint/v4"/>
    <ds:schemaRef ds:uri="a36bd50b-1532-4c22-b385-5c082c9609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B74EE6-AC0B-435E-91C5-7D14DB61B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7DE5E-73BA-493D-8CC4-8AAF6C1742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65976A-7803-4174-89E1-66896AF65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8c4c6479-bb6a-4263-8159-fbb0afc5d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5A4D6F-0AF9-44DF-A9CE-669D8DEC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Holly</dc:creator>
  <cp:keywords/>
  <dc:description/>
  <cp:lastModifiedBy>Jones, Kayleigh</cp:lastModifiedBy>
  <cp:revision>2</cp:revision>
  <cp:lastPrinted>2023-01-04T22:22:00Z</cp:lastPrinted>
  <dcterms:created xsi:type="dcterms:W3CDTF">2023-01-09T22:41:00Z</dcterms:created>
  <dcterms:modified xsi:type="dcterms:W3CDTF">2023-01-09T22:41:00Z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0x0101005BC986DFDE75994F940B8C539C91BA04</vt:lpwstr>
  </property>
  <property fmtid="{D5CDD505-2E9C-101B-9397-08002B2CF9AE}" pid="3" name="DocHub_Year">
    <vt:lpwstr>1390;#2022|4a777a70-2aa9-481e-a746-cca47d761c8e</vt:lpwstr>
  </property>
  <property fmtid="{D5CDD505-2E9C-101B-9397-08002B2CF9AE}" pid="4" name="DocHub_DocumentType">
    <vt:lpwstr>378;#Fact Sheet|38af007d-6d80-4dd0-9833-ef17489d7c7e</vt:lpwstr>
  </property>
  <property fmtid="{D5CDD505-2E9C-101B-9397-08002B2CF9AE}" pid="5" name="DocHub_SecurityClassification">
    <vt:lpwstr>82;#PROTECTED|1f93d6e9-ce72-494e-aefd-be45817cd598</vt:lpwstr>
  </property>
  <property fmtid="{D5CDD505-2E9C-101B-9397-08002B2CF9AE}" pid="6" name="DocHub_Keywords">
    <vt:lpwstr>234;#Safeguard Mechanism|462066da-c297-4969-b9e8-878ecfcc0dda</vt:lpwstr>
  </property>
  <property fmtid="{D5CDD505-2E9C-101B-9397-08002B2CF9AE}" pid="7" name="DocHub_WorkActivity">
    <vt:lpwstr>295;#Communication|cd41d649-1e1a-44f5-b99b-946d42ce56d6</vt:lpwstr>
  </property>
</Properties>
</file>